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  <w:szCs w:val="24"/>
        </w:rPr>
      </w:pPr>
      <w:r/>
      <w:bookmarkStart w:id="0" w:name="_Toc46743519"/>
      <w:r/>
      <w:bookmarkStart w:id="1" w:name="_Toc51339699"/>
      <w:r>
        <w:rPr>
          <w:sz w:val="24"/>
          <w:szCs w:val="24"/>
        </w:rPr>
        <w:t xml:space="preserve">Приложение № 1 </w:t>
      </w:r>
      <w:r>
        <w:rPr>
          <w:sz w:val="24"/>
          <w:szCs w:val="24"/>
        </w:rPr>
        <w:t xml:space="preserve">к Техническим требованиям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bookmarkEnd w:id="0"/>
      <w:r/>
      <w:bookmarkEnd w:id="1"/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rPr>
          <w:b/>
          <w:sz w:val="24"/>
        </w:rPr>
      </w:pPr>
      <w:r>
        <w:rPr>
          <w:b/>
          <w:sz w:val="24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98"/>
        <w:numPr>
          <w:ilvl w:val="0"/>
          <w:numId w:val="20"/>
        </w:numPr>
        <w:ind w:left="0" w:firstLine="709"/>
        <w:jc w:val="both"/>
      </w:pPr>
      <w:r>
        <w:t xml:space="preserve">В составе документации сметы на СМР формировать по следующим критериям:</w:t>
      </w:r>
      <w:r/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формировании стоимости работ </w:t>
      </w:r>
      <w:r>
        <w:rPr>
          <w:sz w:val="24"/>
          <w:szCs w:val="24"/>
        </w:rPr>
        <w:t xml:space="preserve">– стоимость должна быть подтверждена подробным и обоснованным расчётом, учитывающим весь объём работ, указанный в Ведомости объёмов работ на выполнение работ, все предполагаемые затраты Подрядчика, обязательные платежи, стоимость всех сопутствующих работ.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Использование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  <w:r/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составляется в программном комплексе «Гранд-Смета». Версия должна быть не ниже 2021.</w:t>
      </w:r>
      <w:r/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При составлении смет руководствоваться </w:t>
      </w:r>
      <w:r>
        <w:t xml:space="preserve"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</w:t>
      </w:r>
      <w:r>
        <w:t xml:space="preserve">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</w:t>
      </w:r>
      <w:r>
        <w:t xml:space="preserve"> учетом изменений и дополнений</w:t>
      </w:r>
      <w:r>
        <w:t xml:space="preserve">.</w:t>
      </w:r>
      <w:r>
        <w:t xml:space="preserve"> </w:t>
      </w:r>
      <w:r/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Для определения сметной стоимости при использовании сборников базисных цен на конкретные виды работ приоритетным методом определения текущей стоимости работ является Базисно-индексный метод.</w:t>
      </w:r>
      <w:r/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разработана Заказчиком</w:t>
      </w:r>
      <w:r>
        <w:t xml:space="preserve">,</w:t>
      </w:r>
      <w:r>
        <w:t xml:space="preserve"> </w:t>
      </w:r>
      <w:r>
        <w:t xml:space="preserve">согласно</w:t>
      </w:r>
      <w:r>
        <w:t xml:space="preserve"> </w:t>
      </w:r>
      <w:r>
        <w:t xml:space="preserve">следующих ценовых показателей (критериев):</w:t>
      </w:r>
      <w:r/>
    </w:p>
    <w:p>
      <w:pPr>
        <w:ind w:firstLine="708"/>
        <w:jc w:val="both"/>
        <w:rPr>
          <w:sz w:val="24"/>
          <w:szCs w:val="24"/>
        </w:rPr>
      </w:pPr>
      <w:r>
        <w:t xml:space="preserve">- </w:t>
      </w:r>
      <w:r>
        <w:rPr>
          <w:sz w:val="24"/>
          <w:szCs w:val="24"/>
        </w:rPr>
        <w:t xml:space="preserve">базисно-индексным  методом  по сборникам «Базовых цен на работы по ремонту энергетического оборудования, адекватные условиям функционирования конкурентного рынка услуг по ремонту и техперевооружению» (далее – СБЦ);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-для фор</w:t>
      </w:r>
      <w:r>
        <w:rPr>
          <w:sz w:val="24"/>
          <w:szCs w:val="24"/>
        </w:rPr>
        <w:t xml:space="preserve">ми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смет</w:t>
      </w:r>
      <w:r>
        <w:rPr>
          <w:sz w:val="24"/>
          <w:szCs w:val="24"/>
        </w:rPr>
        <w:t xml:space="preserve">ной стои</w:t>
      </w:r>
      <w:r>
        <w:rPr>
          <w:sz w:val="24"/>
          <w:szCs w:val="24"/>
        </w:rPr>
        <w:t xml:space="preserve">мо</w:t>
      </w:r>
      <w:r>
        <w:rPr>
          <w:sz w:val="24"/>
          <w:szCs w:val="24"/>
        </w:rPr>
        <w:t xml:space="preserve">сти ра</w:t>
      </w:r>
      <w:r>
        <w:rPr>
          <w:sz w:val="24"/>
          <w:szCs w:val="24"/>
        </w:rPr>
        <w:t xml:space="preserve">бот по ремонту оборудования  при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нён по</w:t>
      </w:r>
      <w:r>
        <w:rPr>
          <w:sz w:val="24"/>
          <w:szCs w:val="24"/>
        </w:rPr>
        <w:t xml:space="preserve">пра</w:t>
      </w:r>
      <w:r>
        <w:rPr>
          <w:sz w:val="24"/>
          <w:szCs w:val="24"/>
        </w:rPr>
        <w:t xml:space="preserve">воч</w:t>
      </w:r>
      <w:r>
        <w:rPr>
          <w:sz w:val="24"/>
          <w:szCs w:val="24"/>
        </w:rPr>
        <w:t xml:space="preserve">ный ин</w:t>
      </w:r>
      <w:r>
        <w:rPr>
          <w:sz w:val="24"/>
          <w:szCs w:val="24"/>
        </w:rPr>
        <w:t xml:space="preserve">декс в раз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ре К = 4.2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(без уче</w:t>
      </w:r>
      <w:r>
        <w:rPr>
          <w:sz w:val="24"/>
          <w:szCs w:val="24"/>
        </w:rPr>
        <w:t xml:space="preserve">та  вы</w:t>
      </w:r>
      <w:r>
        <w:rPr>
          <w:sz w:val="24"/>
          <w:szCs w:val="24"/>
        </w:rPr>
        <w:t xml:space="preserve">плат рай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ко</w:t>
      </w:r>
      <w:r>
        <w:rPr>
          <w:sz w:val="24"/>
          <w:szCs w:val="24"/>
        </w:rPr>
        <w:t xml:space="preserve">эф</w:t>
      </w:r>
      <w:r>
        <w:rPr>
          <w:sz w:val="24"/>
          <w:szCs w:val="24"/>
        </w:rPr>
        <w:t xml:space="preserve">фи</w:t>
      </w:r>
      <w:r>
        <w:rPr>
          <w:sz w:val="24"/>
          <w:szCs w:val="24"/>
        </w:rPr>
        <w:t xml:space="preserve">ци</w:t>
      </w:r>
      <w:r>
        <w:rPr>
          <w:sz w:val="24"/>
          <w:szCs w:val="24"/>
        </w:rPr>
        <w:t xml:space="preserve">ен</w:t>
      </w:r>
      <w:r>
        <w:rPr>
          <w:sz w:val="24"/>
          <w:szCs w:val="24"/>
        </w:rPr>
        <w:t xml:space="preserve">та и над</w:t>
      </w:r>
      <w:r>
        <w:rPr>
          <w:sz w:val="24"/>
          <w:szCs w:val="24"/>
        </w:rPr>
        <w:t xml:space="preserve">ба</w:t>
      </w:r>
      <w:r>
        <w:rPr>
          <w:sz w:val="24"/>
          <w:szCs w:val="24"/>
        </w:rPr>
        <w:t xml:space="preserve">вок к за</w:t>
      </w:r>
      <w:r>
        <w:rPr>
          <w:sz w:val="24"/>
          <w:szCs w:val="24"/>
        </w:rPr>
        <w:t xml:space="preserve">ра</w:t>
      </w:r>
      <w:r>
        <w:rPr>
          <w:sz w:val="24"/>
          <w:szCs w:val="24"/>
        </w:rPr>
        <w:t xml:space="preserve">бот</w:t>
      </w:r>
      <w:r>
        <w:rPr>
          <w:sz w:val="24"/>
          <w:szCs w:val="24"/>
        </w:rPr>
        <w:t xml:space="preserve">ной пла</w:t>
      </w:r>
      <w:r>
        <w:rPr>
          <w:sz w:val="24"/>
          <w:szCs w:val="24"/>
        </w:rPr>
        <w:t xml:space="preserve">те за не</w:t>
      </w:r>
      <w:r>
        <w:rPr>
          <w:sz w:val="24"/>
          <w:szCs w:val="24"/>
        </w:rPr>
        <w:t xml:space="preserve">пре</w:t>
      </w:r>
      <w:r>
        <w:rPr>
          <w:sz w:val="24"/>
          <w:szCs w:val="24"/>
        </w:rPr>
        <w:t xml:space="preserve">рыв</w:t>
      </w:r>
      <w:r>
        <w:rPr>
          <w:sz w:val="24"/>
          <w:szCs w:val="24"/>
        </w:rPr>
        <w:t xml:space="preserve">ный стаж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ты, до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лат за вред</w:t>
      </w:r>
      <w:r>
        <w:rPr>
          <w:sz w:val="24"/>
          <w:szCs w:val="24"/>
        </w:rPr>
        <w:t xml:space="preserve">ные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вия тру</w:t>
      </w:r>
      <w:r>
        <w:rPr>
          <w:sz w:val="24"/>
          <w:szCs w:val="24"/>
        </w:rPr>
        <w:t xml:space="preserve">да) к «Ба</w:t>
      </w:r>
      <w:r>
        <w:rPr>
          <w:sz w:val="24"/>
          <w:szCs w:val="24"/>
        </w:rPr>
        <w:t xml:space="preserve">зо</w:t>
      </w:r>
      <w:r>
        <w:rPr>
          <w:sz w:val="24"/>
          <w:szCs w:val="24"/>
        </w:rPr>
        <w:t xml:space="preserve">вым це</w:t>
      </w:r>
      <w:r>
        <w:rPr>
          <w:sz w:val="24"/>
          <w:szCs w:val="24"/>
        </w:rPr>
        <w:t xml:space="preserve">нам на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энер</w:t>
      </w:r>
      <w:r>
        <w:rPr>
          <w:sz w:val="24"/>
          <w:szCs w:val="24"/>
        </w:rPr>
        <w:t xml:space="preserve">ге</w:t>
      </w:r>
      <w:r>
        <w:rPr>
          <w:sz w:val="24"/>
          <w:szCs w:val="24"/>
        </w:rPr>
        <w:t xml:space="preserve">ти</w:t>
      </w:r>
      <w:r>
        <w:rPr>
          <w:sz w:val="24"/>
          <w:szCs w:val="24"/>
        </w:rPr>
        <w:t xml:space="preserve">че</w:t>
      </w:r>
      <w:r>
        <w:rPr>
          <w:sz w:val="24"/>
          <w:szCs w:val="24"/>
        </w:rPr>
        <w:t xml:space="preserve">ско</w:t>
      </w:r>
      <w:r>
        <w:rPr>
          <w:sz w:val="24"/>
          <w:szCs w:val="24"/>
        </w:rPr>
        <w:t xml:space="preserve">го обо</w:t>
      </w:r>
      <w:r>
        <w:rPr>
          <w:sz w:val="24"/>
          <w:szCs w:val="24"/>
        </w:rPr>
        <w:t xml:space="preserve">ру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ния, аде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ват</w:t>
      </w:r>
      <w:r>
        <w:rPr>
          <w:sz w:val="24"/>
          <w:szCs w:val="24"/>
        </w:rPr>
        <w:t xml:space="preserve">ным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</w:t>
      </w:r>
      <w:r>
        <w:rPr>
          <w:sz w:val="24"/>
          <w:szCs w:val="24"/>
        </w:rPr>
        <w:t xml:space="preserve">ям функ</w:t>
      </w:r>
      <w:r>
        <w:rPr>
          <w:sz w:val="24"/>
          <w:szCs w:val="24"/>
        </w:rPr>
        <w:t xml:space="preserve">цио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кон</w:t>
      </w:r>
      <w:r>
        <w:rPr>
          <w:sz w:val="24"/>
          <w:szCs w:val="24"/>
        </w:rPr>
        <w:t xml:space="preserve">ку</w:t>
      </w:r>
      <w:r>
        <w:rPr>
          <w:sz w:val="24"/>
          <w:szCs w:val="24"/>
        </w:rPr>
        <w:t xml:space="preserve">рент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рын</w:t>
      </w:r>
      <w:r>
        <w:rPr>
          <w:sz w:val="24"/>
          <w:szCs w:val="24"/>
        </w:rPr>
        <w:t xml:space="preserve">ка ус</w:t>
      </w:r>
      <w:r>
        <w:rPr>
          <w:sz w:val="24"/>
          <w:szCs w:val="24"/>
        </w:rPr>
        <w:t xml:space="preserve">луг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и тех</w:t>
      </w:r>
      <w:r>
        <w:rPr>
          <w:sz w:val="24"/>
          <w:szCs w:val="24"/>
        </w:rPr>
        <w:t xml:space="preserve">пе</w:t>
      </w:r>
      <w:r>
        <w:rPr>
          <w:sz w:val="24"/>
          <w:szCs w:val="24"/>
        </w:rPr>
        <w:t xml:space="preserve">ре</w:t>
      </w:r>
      <w:r>
        <w:rPr>
          <w:sz w:val="24"/>
          <w:szCs w:val="24"/>
        </w:rPr>
        <w:t xml:space="preserve">во</w:t>
      </w:r>
      <w:r>
        <w:rPr>
          <w:sz w:val="24"/>
          <w:szCs w:val="24"/>
        </w:rPr>
        <w:t xml:space="preserve">ору</w:t>
      </w:r>
      <w:r>
        <w:rPr>
          <w:sz w:val="24"/>
          <w:szCs w:val="24"/>
        </w:rPr>
        <w:t xml:space="preserve">же</w:t>
      </w:r>
      <w:r>
        <w:rPr>
          <w:sz w:val="24"/>
          <w:szCs w:val="24"/>
        </w:rPr>
        <w:t xml:space="preserve">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расценкам отсутствующим в сборниках «Базовые цены…» ( автомобильные перевозки, погрузо-разгрузочные работы) стоимость работ определять ресурсно-индексным методом по сметно-нормативной базе</w:t>
      </w:r>
      <w:r>
        <w:rPr>
          <w:sz w:val="24"/>
          <w:szCs w:val="24"/>
        </w:rPr>
        <w:t xml:space="preserve"> «ФСНБ 2022» актуальной редакции</w:t>
      </w:r>
      <w:r>
        <w:rPr>
          <w:sz w:val="24"/>
          <w:szCs w:val="24"/>
        </w:rPr>
        <w:t xml:space="preserve">. Норматив сметной прибыли при этом учитывать в размере 30% от ФОТ для СМР .  При отсутствии расценок в нормативных сборниках сметная стоимость допустимо определять на основании калькуляций.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Из норм и расценок, внесенных в ФРСН, при составлении сметной документации исключить затраты: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Исключ</w:t>
      </w:r>
      <w:r>
        <w:rPr>
          <w:sz w:val="24"/>
          <w:szCs w:val="24"/>
        </w:rPr>
        <w:t xml:space="preserve">ить</w:t>
      </w:r>
      <w:r>
        <w:rPr>
          <w:sz w:val="24"/>
          <w:szCs w:val="24"/>
        </w:rPr>
        <w:t xml:space="preserve"> из норм и расценок предоставляемые грузоподъемные механизмы.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 использования подрядчиком собственных/арендованных механизмов полностью, либо част</w:t>
      </w:r>
      <w:r>
        <w:rPr>
          <w:rFonts w:eastAsia="Calibri"/>
          <w:sz w:val="24"/>
          <w:szCs w:val="24"/>
        </w:rPr>
        <w:t xml:space="preserve">ично, для выполнения конкретной работы на строительной площадке, из расценки на выполнение данных работ грузоподъемные механизмы не исключаются. Также из расценок, включенных в ФРСН подлежат исключению давальческие материалы – вода, вода химочищенная, элек</w:t>
      </w:r>
      <w:r>
        <w:rPr>
          <w:rFonts w:eastAsia="Calibri"/>
          <w:sz w:val="24"/>
          <w:szCs w:val="24"/>
        </w:rPr>
        <w:t xml:space="preserve">троэнергия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98"/>
        <w:numPr>
          <w:ilvl w:val="0"/>
          <w:numId w:val="20"/>
        </w:numPr>
        <w:ind w:left="0" w:firstLine="709"/>
        <w:jc w:val="both"/>
      </w:pPr>
      <w: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t xml:space="preserve">по наиболее экономичному варианту (минимальному значению) по результатам конъюнктурного анализа в соответствии с пунктами Методики определения сметной стоимости строительства, изложенными в Приложении № </w:t>
      </w:r>
      <w:r>
        <w:t xml:space="preserve">2</w:t>
      </w:r>
      <w:r>
        <w:t xml:space="preserve"> к Требованиям к оформлению и составлению документации по ценообразованию</w:t>
      </w:r>
      <w:r>
        <w:t xml:space="preserve"> </w:t>
      </w:r>
      <w:r>
        <w:t xml:space="preserve">и включаются в Главу 9 ССРСС.</w:t>
      </w:r>
      <w:r/>
    </w:p>
    <w:p>
      <w:pPr>
        <w:pStyle w:val="998"/>
        <w:numPr>
          <w:ilvl w:val="0"/>
          <w:numId w:val="20"/>
        </w:numPr>
        <w:ind w:left="0" w:firstLine="709"/>
        <w:jc w:val="both"/>
      </w:pPr>
      <w:r>
        <w:t xml:space="preserve">При отсутствии информации о сметных ценах в ФГИС ЦС по материальным ресурсам и оборудова</w:t>
      </w:r>
      <w:r>
        <w:t xml:space="preserve">нию или значительного отклонения цен на материалы и оборудования от стоимости,  учтенной нормативными сборниками ( более 10%)  их сметная цена формируетс</w:t>
      </w:r>
      <w:r>
        <w:t xml:space="preserve">я на основании данных ПК «Ресурсная карта» с последующим подтверждением на стадии расчетов обосновывающими документами или технико-коммерческими предложениями  по наиболее экономичному варианту (минимальному значению) по результатам конъюнктурного анализа </w:t>
      </w:r>
      <w:r/>
    </w:p>
    <w:p>
      <w:pPr>
        <w:pStyle w:val="998"/>
        <w:ind w:left="0" w:firstLine="567"/>
        <w:jc w:val="both"/>
      </w:pPr>
      <w:r>
        <w:t xml:space="preserve">Транспортные затраты определяются следующими методами:</w:t>
      </w:r>
      <w:r/>
    </w:p>
    <w:p>
      <w:pPr>
        <w:pStyle w:val="998"/>
        <w:ind w:left="0" w:firstLine="567"/>
        <w:jc w:val="both"/>
      </w:pPr>
      <w:r>
        <w:t xml:space="preserve">По доставке материальных ресурсов:</w:t>
      </w:r>
      <w:r/>
    </w:p>
    <w:p>
      <w:pPr>
        <w:pStyle w:val="998"/>
        <w:ind w:left="0" w:firstLine="567"/>
        <w:jc w:val="both"/>
      </w:pPr>
      <w:r>
        <w:t xml:space="preserve">- по результатам конъюнктурного анализа с учетом данных о стоимости услуг, полученных не менее</w:t>
      </w:r>
      <w:r>
        <w:t xml:space="preserve"> чем от 3-х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  <w:r/>
    </w:p>
    <w:p>
      <w:pPr>
        <w:pStyle w:val="998"/>
        <w:ind w:left="0" w:firstLine="567"/>
        <w:jc w:val="both"/>
      </w:pPr>
      <w:r>
        <w:t xml:space="preserve">- 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/>
    </w:p>
    <w:p>
      <w:pPr>
        <w:pStyle w:val="998"/>
        <w:ind w:left="0" w:firstLine="567"/>
        <w:jc w:val="both"/>
      </w:pPr>
      <w: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/>
    </w:p>
    <w:p>
      <w:pPr>
        <w:pStyle w:val="998"/>
        <w:ind w:left="0" w:firstLine="567"/>
        <w:jc w:val="both"/>
      </w:pPr>
      <w:r>
        <w:t xml:space="preserve">• 2% - для материальных ресурсов (кроме металлоконструкций);</w:t>
      </w:r>
      <w:r/>
    </w:p>
    <w:p>
      <w:pPr>
        <w:pStyle w:val="998"/>
        <w:ind w:left="0" w:firstLine="567"/>
        <w:jc w:val="both"/>
      </w:pPr>
      <w:r>
        <w:t xml:space="preserve">• 0,75% - для металлоконструкций;</w:t>
      </w:r>
      <w:r/>
    </w:p>
    <w:p>
      <w:pPr>
        <w:pStyle w:val="998"/>
        <w:ind w:left="0" w:firstLine="567"/>
        <w:jc w:val="both"/>
      </w:pPr>
      <w:r>
        <w:t xml:space="preserve">• 1,2% - для оборудования.</w:t>
      </w:r>
      <w:r/>
    </w:p>
    <w:p>
      <w:pPr>
        <w:pStyle w:val="998"/>
        <w:ind w:left="0" w:firstLine="567"/>
        <w:jc w:val="both"/>
      </w:pPr>
      <w: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/>
    </w:p>
    <w:p>
      <w:pPr>
        <w:pStyle w:val="998"/>
        <w:numPr>
          <w:ilvl w:val="0"/>
          <w:numId w:val="20"/>
        </w:numPr>
        <w:ind w:left="0" w:firstLine="720"/>
        <w:jc w:val="both"/>
      </w:pPr>
      <w:r>
        <w:t xml:space="preserve">Поправочные коэффициенты из технической</w:t>
      </w:r>
      <w:r>
        <w:t xml:space="preserve">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</w:t>
      </w:r>
      <w: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/>
    </w:p>
    <w:p>
      <w:pPr>
        <w:pStyle w:val="998"/>
        <w:numPr>
          <w:ilvl w:val="0"/>
          <w:numId w:val="20"/>
        </w:numPr>
        <w:ind w:left="0" w:firstLine="709"/>
        <w:jc w:val="both"/>
        <w:tabs>
          <w:tab w:val="left" w:pos="1134" w:leader="none"/>
        </w:tabs>
      </w:pPr>
      <w: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/>
    </w:p>
    <w:p>
      <w:pPr>
        <w:pStyle w:val="1016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         При производстве работ лимиты командировочных расходов на стадии расчетов принимать в размере не более учтенных в смете показателей и не более:</w:t>
      </w:r>
      <w:r/>
      <w:r/>
    </w:p>
    <w:p>
      <w:pPr>
        <w:pStyle w:val="1016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суточные – 700 руб./сутки;</w:t>
      </w:r>
      <w:r/>
      <w:r/>
    </w:p>
    <w:p>
      <w:pPr>
        <w:pStyle w:val="1016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проживание для рабочих– 550 руб./сутки;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 для ИТР - 6000 руб/сутки</w:t>
      </w:r>
      <w:r/>
    </w:p>
    <w:p>
      <w:pPr>
        <w:pStyle w:val="1016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/>
      <w:r/>
    </w:p>
    <w:p>
      <w:pPr>
        <w:jc w:val="both"/>
        <w:tabs>
          <w:tab w:val="left" w:pos="1134" w:leader="none"/>
        </w:tabs>
      </w:pPr>
      <w:r>
        <w:rPr>
          <w:highlight w:val="none"/>
        </w:rPr>
      </w:r>
      <w:r>
        <w:rPr>
          <w:highlight w:val="none"/>
        </w:rPr>
      </w:r>
    </w:p>
    <w:p>
      <w:pPr>
        <w:pStyle w:val="998"/>
        <w:numPr>
          <w:ilvl w:val="0"/>
          <w:numId w:val="20"/>
        </w:numPr>
        <w:ind w:left="426" w:firstLine="294"/>
        <w:jc w:val="both"/>
      </w:pPr>
      <w:r>
        <w:t xml:space="preserve">В </w:t>
      </w:r>
      <w:r>
        <w:t xml:space="preserve">сметном расчете итоговая цифра без НДС указывается в рублях и округляется до целого числа. При начислении НДС итоговая цифра указываются в рублях и округляется до двух знаков после запятой</w:t>
      </w:r>
      <w:r>
        <w:t xml:space="preserve">).</w:t>
      </w:r>
      <w:r/>
    </w:p>
    <w:p>
      <w:pPr>
        <w:pStyle w:val="998"/>
        <w:numPr>
          <w:ilvl w:val="0"/>
          <w:numId w:val="20"/>
        </w:numPr>
        <w:ind w:left="426" w:firstLine="294"/>
        <w:jc w:val="both"/>
      </w:pPr>
      <w:r>
        <w:t xml:space="preserve">В случае снижения заявленной стоимости путём ввода в сметны</w:t>
      </w:r>
      <w:r>
        <w:t xml:space="preserve">й расчет «понижающего коэффициента», учтённый в окончательной смете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</w:t>
      </w:r>
      <w:r/>
    </w:p>
    <w:p>
      <w:pPr>
        <w:pStyle w:val="998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Выходные формы сметных расчетов должны соответствовать Образц</w:t>
      </w: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 по приложени</w:t>
      </w:r>
      <w:r>
        <w:rPr>
          <w:sz w:val="22"/>
          <w:szCs w:val="22"/>
        </w:rPr>
        <w:t xml:space="preserve">ю</w:t>
      </w:r>
      <w:r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 </w:t>
      </w:r>
      <w:r/>
    </w:p>
    <w:p>
      <w:pPr>
        <w:pStyle w:val="998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Сметная документация должна быть представлена в двух вариантах:</w:t>
      </w:r>
      <w:r/>
    </w:p>
    <w:p>
      <w:pPr>
        <w:pStyle w:val="1016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6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форматах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xml</w:t>
      </w:r>
      <w:r>
        <w:rPr>
          <w:rFonts w:ascii="Times New Roman" w:hAnsi="Times New Roman" w:cs="Times New Roman"/>
          <w:sz w:val="22"/>
          <w:szCs w:val="22"/>
        </w:rPr>
        <w:t xml:space="preserve">»,</w:t>
      </w:r>
      <w:r>
        <w:rPr>
          <w:rFonts w:ascii="Times New Roman" w:hAnsi="Times New Roman" w:cs="Times New Roman"/>
          <w:color w:val="2e74b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ПК «Гранд-Смета», «Excel»,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cs="Times New Roman"/>
          <w:sz w:val="22"/>
          <w:szCs w:val="22"/>
        </w:rPr>
        <w:t xml:space="preserve">»), полностью соответствующему бумажному варианту;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6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документация в формате «Exce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l</w:t>
      </w:r>
      <w:r>
        <w:rPr>
          <w:rFonts w:ascii="Times New Roman" w:hAnsi="Times New Roman" w:cs="Times New Roman"/>
          <w:sz w:val="22"/>
          <w:szCs w:val="22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6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6"/>
        <w:ind w:firstLine="567"/>
        <w:jc w:val="both"/>
        <w:widowControl/>
        <w:tabs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  <w:pageBreakBefore/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eastAsia="Calibri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27088" cy="3593465"/>
                <wp:effectExtent l="0" t="0" r="0" b="6985"/>
                <wp:docPr id="1" name="Рисунок 2" descr="cid:image001.jpg@01D771AB.FE884A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id:image001.jpg@01D771AB.FE884A1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071424" cy="3619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4.57pt;height:282.9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jc w:val="right"/>
        <w:pageBreakBefore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</w:t>
      </w:r>
      <w:r>
        <w:rPr>
          <w:color w:val="000000"/>
          <w:sz w:val="20"/>
          <w:szCs w:val="20"/>
        </w:rPr>
        <w:t xml:space="preserve">риложение 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Требования к оформлению и составлению сводного сметного расчета</w:t>
      </w:r>
      <w:r>
        <w:rPr>
          <w:b/>
        </w:rPr>
      </w:r>
      <w:r>
        <w:rPr>
          <w:b/>
        </w:rPr>
      </w:r>
    </w:p>
    <w:p>
      <w:pPr>
        <w:pStyle w:val="1016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по образцу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</w:t>
      </w:r>
      <w:r>
        <w:rPr>
          <w:rFonts w:ascii="Times New Roman" w:hAnsi="Times New Roman"/>
          <w:color w:val="000000"/>
          <w:sz w:val="22"/>
        </w:rPr>
        <w:t xml:space="preserve">–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),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нему. В итогах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(справочно) указывать суммы изменения (уменьшения, увеличения) основного договора на основании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, которые определяются как разница между суммой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очередного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и стоимостью основного договора. Форма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с учетом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 являются приложениями к ССРСС.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Разнесение затрат (сумм ЛС) по графам и главам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>
        <w:rPr>
          <w:rFonts w:ascii="Times New Roman" w:hAnsi="Times New Roman"/>
          <w:color w:val="000000"/>
          <w:sz w:val="22"/>
        </w:rPr>
        <w:t xml:space="preserve">Методики определения сметной стоимости строительства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 xml:space="preserve">в рубл</w:t>
      </w:r>
      <w:r>
        <w:rPr>
          <w:rFonts w:ascii="Times New Roman" w:hAnsi="Times New Roman"/>
          <w:color w:val="000000"/>
          <w:sz w:val="22"/>
        </w:rPr>
        <w:t xml:space="preserve">ях </w:t>
      </w:r>
      <w:r>
        <w:rPr>
          <w:rFonts w:ascii="Times New Roman" w:hAnsi="Times New Roman"/>
          <w:color w:val="000000"/>
          <w:sz w:val="22"/>
        </w:rPr>
        <w:t xml:space="preserve">с округлением до двух знаков после запятой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  <w:t xml:space="preserve"> Величину НДС не указывать.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16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pStyle w:val="998"/>
        <w:ind w:left="6521"/>
        <w:jc w:val="both"/>
      </w:pPr>
      <w:r/>
      <w:r/>
    </w:p>
    <w:p>
      <w:pPr>
        <w:jc w:val="both"/>
      </w:pPr>
      <w:r/>
      <w:r/>
    </w:p>
    <w:p>
      <w:pPr>
        <w:pStyle w:val="1016"/>
        <w:ind w:left="5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1.1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техническому перевооружению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jc w:val="right"/>
        <w:rPr>
          <w:rFonts w:ascii="Times New Roman" w:hAnsi="Times New Roman"/>
        </w:rPr>
      </w:pPr>
      <w:r/>
      <w:bookmarkStart w:id="3" w:name="P3258"/>
      <w:r/>
      <w:bookmarkStart w:id="4" w:name="P2506"/>
      <w:r/>
      <w:bookmarkStart w:id="5" w:name="P2522"/>
      <w:r/>
      <w:bookmarkStart w:id="6" w:name="P2523"/>
      <w:r/>
      <w:bookmarkStart w:id="7" w:name="P2524"/>
      <w:r/>
      <w:bookmarkStart w:id="8" w:name="P2525"/>
      <w:r/>
      <w:bookmarkStart w:id="9" w:name="P2526"/>
      <w:r/>
      <w:bookmarkStart w:id="10" w:name="P2527"/>
      <w:r/>
      <w:bookmarkStart w:id="11" w:name="P2528"/>
      <w:r/>
      <w:bookmarkStart w:id="12" w:name="P2529"/>
      <w:r/>
      <w:bookmarkStart w:id="13" w:name="P2530"/>
      <w:r/>
      <w:bookmarkStart w:id="14" w:name="P2531"/>
      <w:r/>
      <w:bookmarkStart w:id="15" w:name="P2546"/>
      <w:r/>
      <w:bookmarkStart w:id="16" w:name="P2566"/>
      <w:r/>
      <w:bookmarkStart w:id="17" w:name="P2616"/>
      <w:r/>
      <w:bookmarkStart w:id="18" w:name="P2736"/>
      <w:r/>
      <w:bookmarkStart w:id="19" w:name="P2746"/>
      <w:r/>
      <w:bookmarkStart w:id="20" w:name="P2945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464"/>
        <w:gridCol w:w="6316"/>
      </w:tblGrid>
      <w:tr>
        <w:tblPrEx/>
        <w:trPr>
          <w:trHeight w:val="115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16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______________(Подрядчик )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firstLine="0"/>
              <w:tabs>
                <w:tab w:val="left" w:pos="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_______________(ФИО)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  <w:t xml:space="preserve">:______________________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16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УТВЕРЖД</w:t>
            </w:r>
            <w:r>
              <w:rPr>
                <w:rFonts w:ascii="Times New Roman" w:hAnsi="Times New Roman" w:cs="Times New Roman"/>
                <w:b/>
              </w:rPr>
              <w:t xml:space="preserve">АЮ</w:t>
            </w:r>
            <w:r>
              <w:rPr>
                <w:rFonts w:ascii="Times New Roman" w:hAnsi="Times New Roman" w:cs="Times New Roman"/>
                <w:b/>
              </w:rPr>
              <w:t xml:space="preserve">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16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1016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 xml:space="preserve">ФИО)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__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01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190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1" w:type="dxa"/>
            <w:textDirection w:val="lrTb"/>
            <w:noWrap w:val="false"/>
          </w:tcPr>
          <w:p>
            <w:pPr>
              <w:pStyle w:val="1016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2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6"/>
        <w:jc w:val="center"/>
      </w:pPr>
      <w:r/>
      <w:r/>
    </w:p>
    <w:tbl>
      <w:tblPr>
        <w:tblW w:w="978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067"/>
        <w:gridCol w:w="708"/>
      </w:tblGrid>
      <w:tr>
        <w:tblPrEx/>
        <w:trPr>
          <w:trHeight w:val="212"/>
        </w:trPr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1016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553" w:type="dxa"/>
            <w:vMerge w:val="restart"/>
            <w:textDirection w:val="lrTb"/>
            <w:noWrap w:val="false"/>
          </w:tcPr>
          <w:p>
            <w:pPr>
              <w:pStyle w:val="1016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7"/>
            <w:tcW w:w="660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019"/>
        </w:trPr>
        <w:tc>
          <w:tcPr>
            <w:tcBorders>
              <w:bottom w:val="single" w:color="auto" w:sz="4" w:space="0"/>
            </w:tcBorders>
            <w:tcW w:w="6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16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16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4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7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16"/>
              <w:ind w:left="170" w:hanging="425"/>
              <w:tabs>
                <w:tab w:val="left" w:pos="567" w:leader="none"/>
                <w:tab w:val="left" w:pos="209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left="170" w:hanging="141"/>
              <w:tabs>
                <w:tab w:val="left" w:pos="85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16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16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16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1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16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ind w:left="35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397"/>
        <w:rPr>
          <w:sz w:val="22"/>
          <w:szCs w:val="22"/>
        </w:rPr>
      </w:pPr>
      <w:r>
        <w:rPr>
          <w:b/>
          <w:sz w:val="22"/>
          <w:szCs w:val="22"/>
        </w:rPr>
        <w:t xml:space="preserve">ОБРАЗЕЦ</w:t>
      </w: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</w:t>
      </w:r>
      <w:r>
        <w:rPr>
          <w:sz w:val="20"/>
          <w:szCs w:val="20"/>
        </w:rPr>
        <w:t xml:space="preserve">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 по техническому перевооружению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tabs>
          <w:tab w:val="left" w:pos="680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tabs>
          <w:tab w:val="left" w:pos="694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225"/>
        <w:gridCol w:w="869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1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 __ 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20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textDirection w:val="lrTb"/>
            <w:noWrap w:val="false"/>
          </w:tcPr>
          <w:p>
            <w:pPr>
              <w:pStyle w:val="101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92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firstLine="7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990"/>
      </w:tblGrid>
      <w:tr>
        <w:tblPrEx/>
        <w:trPr>
          <w:trHeight w:val="311"/>
        </w:trPr>
        <w:tc>
          <w:tcPr>
            <w:tcW w:w="427" w:type="dxa"/>
            <w:vMerge w:val="restart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Nп/п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vMerge w:val="restart"/>
            <w:textDirection w:val="lrTb"/>
            <w:noWrap w:val="false"/>
          </w:tcPr>
          <w:p>
            <w:pPr>
              <w:pStyle w:val="1016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restart"/>
            <w:textDirection w:val="lrTb"/>
            <w:noWrap w:val="false"/>
          </w:tcPr>
          <w:p>
            <w:pPr>
              <w:pStyle w:val="1016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W w:w="652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294"/>
        </w:trPr>
        <w:tc>
          <w:tcPr>
            <w:tcW w:w="42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ind w:firstLine="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44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3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2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2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2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16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39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Включить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0"/>
            <w:tcW w:w="949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Исключить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исключено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главе №: 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ССР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  <w:p>
            <w:pPr>
              <w:pStyle w:val="1016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основного договора,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16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2,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16"/>
              <w:ind w:left="425" w:hanging="425"/>
              <w:tabs>
                <w:tab w:val="left" w:pos="209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16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16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16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[должность, 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16"/>
        <w:ind w:firstLine="0"/>
        <w:jc w:val="right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016"/>
        <w:ind w:firstLine="0"/>
        <w:jc w:val="right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ОБРАЗЕЦ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</w:t>
      </w:r>
      <w:r>
        <w:rPr>
          <w:color w:val="000000"/>
          <w:sz w:val="20"/>
          <w:szCs w:val="20"/>
        </w:rPr>
        <w:t xml:space="preserve">3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 xml:space="preserve">Требованиям к оформлению и составлению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6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техническому перевооружению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____" _____________202 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202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ПК "ГРАНД-Смета 2021"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базисно-индексным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работ и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для ресурсов, отсутствующих в СНБ),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Индексы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текущем уровне цен,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с учетом коэффициентов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</w:tbl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84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98"/>
        <w:ind w:left="6521"/>
        <w:jc w:val="right"/>
      </w:pPr>
      <w:r>
        <w:t xml:space="preserve">Приложение № </w:t>
      </w:r>
      <w:r>
        <w:t xml:space="preserve">2</w:t>
      </w:r>
      <w:r>
        <w:br/>
      </w:r>
      <w:r/>
    </w:p>
    <w:p>
      <w:pPr>
        <w:pStyle w:val="998"/>
        <w:ind w:left="6521"/>
        <w:jc w:val="right"/>
      </w:pPr>
      <w:r>
        <w:t xml:space="preserve">к Требованиям к оформлению </w:t>
      </w:r>
      <w:r>
        <w:br/>
        <w:t xml:space="preserve">и составлению документации </w:t>
      </w:r>
      <w:r>
        <w:br/>
        <w:t xml:space="preserve">по ценообразованию</w:t>
      </w:r>
      <w:r>
        <w:br/>
      </w:r>
      <w:r/>
    </w:p>
    <w:p>
      <w:pPr>
        <w:pStyle w:val="998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определению оптимальной стоимости материальных ресурсов, оборудования и прочих затрат (услуг)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98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включения в сметную документацию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98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конъюктурного анализа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98"/>
        <w:numPr>
          <w:ilvl w:val="0"/>
          <w:numId w:val="27"/>
        </w:numPr>
        <w:ind w:left="0" w:firstLine="709"/>
        <w:jc w:val="both"/>
      </w:pPr>
      <w:r>
        <w:t xml:space="preserve">Для проведения конъюнктурного анализа используется информация из открыты</w:t>
      </w:r>
      <w:r>
        <w:t xml:space="preserve">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</w:t>
      </w:r>
      <w:r>
        <w:t xml:space="preserve">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подписанные уполномоченным лицом заказчика, в том числе для:</w:t>
      </w:r>
      <w:r>
        <w:br/>
        <w:t xml:space="preserve">а) материальных ресурсов и оборудования: копиями или оригиналами (при наличии) прейскурантов, коммерческих предложений, технико-коммерчески</w:t>
      </w:r>
      <w:r>
        <w:t xml:space="preserve">х предложений (далее - ТКП), расчетно-калькуляционных цен (далее - РКЦ), цен офсетных контрактов, а также информацией, принятой по данным, размещенной в информационно-телекоммуникационной сети "Интернет", используемой при проведении конъюнктурного анализа;</w:t>
      </w:r>
      <w:r>
        <w:br/>
        <w:t xml:space="preserve">б) прочих затрат: результатам</w:t>
      </w:r>
      <w:r>
        <w:t xml:space="preserve">и конкурсов, аукционов, данными Федеральной службы государственной статистики, данными о тарифах, утверждаемых в соответствии с законодательством Российской Федерации, копиями или оригиналами (при наличии) данных о ценах и тарифах, размещаемых в форме публ</w:t>
      </w:r>
      <w:r>
        <w:t xml:space="preserve">ичной оферты, коммерческих предложений или ТКП не менее 3 (трех) (при наличии) производителей и (или) поставщиков услуг, в случаях, когда законодательством Российской Федерации не предусмотрено государственное регулирование стоимости соответствующих услуг.</w:t>
      </w:r>
      <w:r/>
    </w:p>
    <w:p>
      <w:pPr>
        <w:pStyle w:val="998"/>
        <w:ind w:left="0" w:firstLine="709"/>
        <w:jc w:val="both"/>
      </w:pPr>
      <w: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/>
    </w:p>
    <w:p>
      <w:pPr>
        <w:pStyle w:val="998"/>
        <w:ind w:left="0" w:firstLine="709"/>
        <w:jc w:val="both"/>
      </w:pPr>
      <w:r>
        <w:t xml:space="preserve">Конъюнктурный анализ проводится по данным производителей (поставщиков) соответствующего субъекта Российской Федерации (части территории субъекта Российской Федерации), на территории которого осуществляется строительство. Для субъектов Российской </w:t>
      </w:r>
      <w:r>
        <w:t xml:space="preserve">Федерации (частей территорий субъектов Российской Федерации), на рынке которых не представлены необходимые материальные ресурсы и оборудование, допускается проведение конъюнктурного анализа по данным производителей (поставщиков), расположенных в других суб</w:t>
      </w:r>
      <w:r>
        <w:t xml:space="preserve">ъектах Российской Федерации (частях территории субъекта Российской Федерации), с учетом стоимости доставки до объекта строительства, рассчитанной в соответствии со сметными нормативами, сведения о которых включены в ФРСН, или согласно положениям пункта 12.</w:t>
      </w:r>
      <w:r/>
    </w:p>
    <w:p>
      <w:pPr>
        <w:pStyle w:val="998"/>
        <w:ind w:left="0" w:firstLine="709"/>
        <w:jc w:val="both"/>
      </w:pPr>
      <w:r>
        <w:t xml:space="preserve">Результаты конъюнктурного анализа оформляются в соответствии с рекомендуемой формой, приведенной в п.13.</w:t>
      </w:r>
      <w:r/>
    </w:p>
    <w:p>
      <w:pPr>
        <w:pStyle w:val="998"/>
        <w:ind w:left="0" w:firstLine="709"/>
        <w:jc w:val="both"/>
      </w:pPr>
      <w:r>
        <w:t xml:space="preserve">2. В документах, обосновывающих стоимость в текущем уровне цен соответствующих материальных ресурсов, оборудования и отдельных видов работ и услуг, предоставляемых производителями (поставщиками) или формируемых на основании данных из открытых</w:t>
      </w:r>
      <w:r>
        <w:t xml:space="preserve"> и (или) официальных источников, указанных в пункте 1, должна содержаться следующая информация: наименование производителя (поставщика), его идентификационный номер налогоплательщика (далее - ИНН), контактные данные, сайт в информационно-телекоммуникационн</w:t>
      </w:r>
      <w:r>
        <w:t xml:space="preserve">ой сети "Интернет" (при наличии), об исполнителе (исполнителях) (при наличии) такого обосновывающего документа с указанием фамилий и инициалов либо иных реквизитов, необходимых для идентификации этих лиц, а также о дате составления документа, дате и (или) </w:t>
      </w:r>
      <w:r>
        <w:t xml:space="preserve">сроках действия ценовых предложений, об учете (или не учете) в ценах отдельных затрат (в частности, на перевозку, шефмонтаж, шефналадку) и налога на добавленную стоимость (далее — НДС).</w:t>
      </w:r>
      <w:r/>
    </w:p>
    <w:p>
      <w:pPr>
        <w:pStyle w:val="998"/>
        <w:ind w:left="0" w:firstLine="709"/>
        <w:jc w:val="both"/>
      </w:pPr>
      <w:r>
        <w:t xml:space="preserve">3. Данные, указанные в пункте 2, отсутствующие в документах, </w:t>
      </w:r>
      <w:r>
        <w:t xml:space="preserve">обосновывающих стоимость в текущем уровне цен соответствующих материальных ресурсов, оборудования, отдельных видов работ и услуг, могут быть дополнены и подписаны уполномоченным лицом заказчика при оформлении обоснований результатов конъюнктурного анализа.</w:t>
      </w:r>
      <w:r/>
    </w:p>
    <w:p>
      <w:pPr>
        <w:pStyle w:val="998"/>
        <w:ind w:left="0" w:firstLine="709"/>
        <w:jc w:val="both"/>
      </w:pPr>
      <w:r>
        <w:t xml:space="preserve">4. В ТКП помимо данных, указанных в пунктах 2 и 3, приводится информация о стоимости материальных ресурсов, оборудования, работ и услуг с указанием единицы измерения, валюты расчета, курса пересчета (в </w:t>
      </w:r>
      <w:r>
        <w:t xml:space="preserve">случае использования ценовой информации в валюте иностранного государства). ТКП заверяются подписями и печатями (при наличии) уполномоченных лиц производителей с указанием их фамилий и инициалов либо иных реквизитов, необходимых для идентификации этих лиц.</w:t>
      </w:r>
      <w:r>
        <w:br/>
        <w:t xml:space="preserve">Характеристики материальных ресурсов, оборудования, работ и услуг, содержащиеся в ТКП, должны соответствовать решениям и мероприятиям проектной и рабочей документации.</w:t>
      </w:r>
      <w:r/>
    </w:p>
    <w:p>
      <w:pPr>
        <w:pStyle w:val="998"/>
        <w:ind w:left="0" w:firstLine="709"/>
        <w:jc w:val="both"/>
      </w:pPr>
      <w:r>
        <w:t xml:space="preserve">5. РКЦ, предоставляемые производителями, расположенными на территории Российской Федерации, содержат следующие статьи затрат:</w:t>
      </w:r>
      <w:r/>
    </w:p>
    <w:p>
      <w:pPr>
        <w:pStyle w:val="998"/>
        <w:ind w:left="0" w:firstLine="709"/>
        <w:jc w:val="both"/>
      </w:pPr>
      <w:r>
        <w:t xml:space="preserve">а) 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  <w:r/>
    </w:p>
    <w:p>
      <w:pPr>
        <w:pStyle w:val="998"/>
        <w:ind w:left="0" w:firstLine="709"/>
        <w:jc w:val="both"/>
      </w:pPr>
      <w:r>
        <w:t xml:space="preserve">б) транспортные расходы (включая погрузочно-разгрузочные работы) и заготовительно-складские расходы (при наличии таких расходов), определяемые расчетом;</w:t>
      </w:r>
      <w:r/>
    </w:p>
    <w:p>
      <w:pPr>
        <w:pStyle w:val="998"/>
        <w:ind w:left="0" w:firstLine="709"/>
        <w:jc w:val="both"/>
      </w:pPr>
      <w:r>
        <w:t xml:space="preserve">в) затраты на оплату труда с учетом страховых взносов и время работы оборудования (машин и механизмов), кот</w:t>
      </w:r>
      <w:r>
        <w:t xml:space="preserve">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</w:t>
      </w:r>
      <w:r>
        <w:t xml:space="preserve">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о среднемесячной заработной плате, сложившиеся в организации производителя;</w:t>
      </w:r>
      <w:r/>
    </w:p>
    <w:p>
      <w:pPr>
        <w:pStyle w:val="998"/>
        <w:ind w:left="0" w:firstLine="709"/>
        <w:jc w:val="both"/>
      </w:pPr>
      <w:r>
        <w:t xml:space="preserve">г) затраты на приобретение энергоресурсов по тарифам, утвержденным в соответствии с законодательством Российской Федерации;</w:t>
      </w:r>
      <w:r/>
    </w:p>
    <w:p>
      <w:pPr>
        <w:pStyle w:val="998"/>
        <w:ind w:left="0" w:firstLine="709"/>
        <w:jc w:val="both"/>
      </w:pPr>
      <w:r>
        <w:t xml:space="preserve">д) общепроизводственные и общехозяйственные расходы (накладные ра</w:t>
      </w:r>
      <w:r>
        <w:t xml:space="preserve">сходы), затраты на амортизацию, которые формируются в соответствии с законодательством Российской Федерации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  <w:r/>
    </w:p>
    <w:p>
      <w:pPr>
        <w:pStyle w:val="998"/>
        <w:ind w:left="0" w:firstLine="709"/>
        <w:jc w:val="both"/>
      </w:pPr>
      <w:r>
        <w:t xml:space="preserve">е) прибыль (норма прибыли), предусмотренная учетной политикой производителя.</w:t>
      </w:r>
      <w:r/>
    </w:p>
    <w:p>
      <w:pPr>
        <w:pStyle w:val="998"/>
        <w:ind w:left="0" w:firstLine="709"/>
        <w:jc w:val="both"/>
      </w:pPr>
      <w:r>
        <w:t xml:space="preserve">6. Для обоснования РКЦ формируется комплект расчетно-калькуляционных материалов (далее - РКМ). Типовой комплект РКМ включает в себя:</w:t>
      </w:r>
      <w:r/>
    </w:p>
    <w:p>
      <w:pPr>
        <w:pStyle w:val="998"/>
        <w:ind w:left="0" w:firstLine="709"/>
        <w:jc w:val="both"/>
      </w:pPr>
      <w:r>
        <w:t xml:space="preserve">а) расшифровки понесенных прямых затрат на изготовление единицы продукции, включая обоснование принятой при расчете РКЦ нормы прибыли;</w:t>
      </w:r>
      <w:r/>
    </w:p>
    <w:p>
      <w:pPr>
        <w:pStyle w:val="998"/>
        <w:ind w:left="0" w:firstLine="709"/>
        <w:jc w:val="both"/>
      </w:pPr>
      <w:r>
        <w:t xml:space="preserve">б) информацию о расходе материалов и изделий (в физических единицах измерения);</w:t>
      </w:r>
      <w:r/>
    </w:p>
    <w:p>
      <w:pPr>
        <w:pStyle w:val="998"/>
        <w:ind w:left="0" w:firstLine="709"/>
        <w:jc w:val="both"/>
      </w:pPr>
      <w:r>
        <w:t xml:space="preserve">в) расшифровки принятых в РКЦ накладных расходов и амортизации;</w:t>
      </w:r>
      <w:r/>
    </w:p>
    <w:p>
      <w:pPr>
        <w:pStyle w:val="998"/>
        <w:ind w:left="0" w:firstLine="709"/>
        <w:jc w:val="both"/>
      </w:pPr>
      <w:r>
        <w:t xml:space="preserve">г) 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  <w:r/>
    </w:p>
    <w:p>
      <w:pPr>
        <w:pStyle w:val="998"/>
        <w:ind w:left="0" w:firstLine="709"/>
        <w:jc w:val="both"/>
      </w:pPr>
      <w:r>
        <w:t xml:space="preserve">7. Для подтверждения указанных расчетов к РКМ могут прилагаться или запрашиваться дополнительно следующие документы:</w:t>
      </w:r>
      <w:r/>
    </w:p>
    <w:p>
      <w:pPr>
        <w:pStyle w:val="998"/>
        <w:ind w:left="0" w:firstLine="709"/>
        <w:jc w:val="both"/>
      </w:pPr>
      <w:r>
        <w:t xml:space="preserve">а) рабочие чертежи изделий;</w:t>
      </w:r>
      <w:r/>
    </w:p>
    <w:p>
      <w:pPr>
        <w:pStyle w:val="998"/>
        <w:ind w:left="0" w:firstLine="709"/>
        <w:jc w:val="both"/>
      </w:pPr>
      <w:r>
        <w:t xml:space="preserve">б) уровень нормируемой среднемесячной заработной платы работников производителя;</w:t>
      </w:r>
      <w:r/>
    </w:p>
    <w:p>
      <w:pPr>
        <w:pStyle w:val="998"/>
        <w:ind w:left="0" w:firstLine="709"/>
        <w:jc w:val="both"/>
      </w:pPr>
      <w:r>
        <w:t xml:space="preserve">в) документы, подтверждающие размер накладных расходов производителя;</w:t>
      </w:r>
      <w:r/>
    </w:p>
    <w:p>
      <w:pPr>
        <w:pStyle w:val="998"/>
        <w:ind w:left="0" w:firstLine="709"/>
        <w:jc w:val="both"/>
      </w:pPr>
      <w:r>
        <w:t xml:space="preserve">г) справка о выпуске продукции за отчетный период в стоимостном и количественном выражении;</w:t>
      </w:r>
      <w:r/>
    </w:p>
    <w:p>
      <w:pPr>
        <w:pStyle w:val="998"/>
        <w:ind w:left="0" w:firstLine="709"/>
        <w:jc w:val="both"/>
      </w:pPr>
      <w:r>
        <w:t xml:space="preserve">д) первичные бухгалтерские учетные документы, подтверждающие размер понесенных затрат;</w:t>
      </w:r>
      <w:r/>
    </w:p>
    <w:p>
      <w:pPr>
        <w:pStyle w:val="998"/>
        <w:ind w:left="0" w:firstLine="709"/>
        <w:jc w:val="both"/>
      </w:pPr>
      <w:r>
        <w:t xml:space="preserve">е) технологическая документация, подтверждающая расчет стоимости материальных ресурсов и трудозатрат.</w:t>
      </w:r>
      <w:r/>
    </w:p>
    <w:p>
      <w:pPr>
        <w:pStyle w:val="998"/>
        <w:ind w:left="0" w:firstLine="709"/>
        <w:jc w:val="both"/>
      </w:pPr>
      <w:r>
        <w:t xml:space="preserve">8. Указанные в пункте 6 документы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Российской Федерации.</w:t>
      </w:r>
      <w:r/>
    </w:p>
    <w:p>
      <w:pPr>
        <w:pStyle w:val="998"/>
        <w:ind w:left="0" w:firstLine="709"/>
        <w:jc w:val="both"/>
      </w:pPr>
      <w:r>
        <w:t xml:space="preserve">Указанные требования не предъявляются к РКЦ, предоставляемым производителями, расположенными за пределами территории Р</w:t>
      </w:r>
      <w:r>
        <w:t xml:space="preserve">оссийской Федерации, которые оформляются в свободной форме, позволяющей идентифицировать характеристики оборудования на предмет соответствия проектным решениям, заверяются подписями и печатями (при наличии) уполномоченных лиц производителей или заказчиком.</w:t>
      </w:r>
      <w:r/>
    </w:p>
    <w:p>
      <w:pPr>
        <w:pStyle w:val="998"/>
        <w:ind w:left="0" w:firstLine="709"/>
        <w:jc w:val="both"/>
      </w:pPr>
      <w:r>
        <w:t xml:space="preserve">9. В случ</w:t>
      </w:r>
      <w:r>
        <w:t xml:space="preserve">ае определения сметной стоимости строительства одновременно в двух уровнях цен: текущем и базисном, сметная стоимость отдельных видов работ и услуг, а также сметных цен материальных ресурсов и оборудования, текущая стоимость которых получена в соответствии</w:t>
      </w:r>
      <w:r>
        <w:t xml:space="preserve"> с положениями пунктов 1 - 8 по результатам конъюнктурного анализа,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/>
    </w:p>
    <w:p>
      <w:pPr>
        <w:pStyle w:val="998"/>
        <w:ind w:left="0" w:firstLine="709"/>
        <w:jc w:val="both"/>
      </w:pPr>
      <w:r>
        <w:t xml:space="preserve">10.  Материальным ресурсам и оборудованию, отпускная цена которых в текущем уровне цен определена в соответст</w:t>
      </w:r>
      <w:r>
        <w:t xml:space="preserve">вии с положениями пунктов 1 - 8, присваивается код, состоящий из буквенного обозначения "ТЦ" и пяти групп цифр: первая группа цифр соответствует коду группы Классификатора строительных ресурсов (далее - КСР), состоящей из четырех групп цифр, к которой отно</w:t>
      </w:r>
      <w:r>
        <w:t xml:space="preserve">сится строительный ресурс, вторая - коду субъекта Российской Федерации, на территории которого находится производитель (поставщик), третья группа цифр содержит данные об ИНН производителя (поставщика), четвертая соответствует уровню ценовых показателей (в </w:t>
      </w:r>
      <w:r>
        <w:t xml:space="preserve">формате ДД.ММ.ГГГГ) в соответствии с обосновывающими отпускную цену документами, пятая группа цифр содержит указание на учет в отпускной цене затрат на перевозку строительного ресурса (01 - с учетом затрат на перевозку, 02 - без учета затрат на перевозку).</w:t>
      </w:r>
      <w:r/>
    </w:p>
    <w:p>
      <w:pPr>
        <w:pStyle w:val="998"/>
        <w:ind w:left="0" w:firstLine="709"/>
        <w:jc w:val="both"/>
      </w:pPr>
      <w:r>
        <w:t xml:space="preserve">11. Вместо кода группы допускается указывать код раздела (части, книги) с указанием нулей в недостающих группах цифр, например, 64.4.00.00. Для материальных р</w:t>
      </w:r>
      <w:r>
        <w:t xml:space="preserve">есурсов и оборудования, не подлежащих включению в КСР, вместо кода группы указывается следующая комбинация цифр: 101 - для технологического оборудования, 102 - для материальных ресурсов индивидуального изготовления, 103 - для инженерного оборудования индив</w:t>
      </w:r>
      <w:r>
        <w:t xml:space="preserve">идуального изготовления, 104 - для производственного и хозяйственного инвентаря, в том числе мебели, 105 - для лабораторного оборудования, 106 - для транспортных средств, 107 - для инструмента, используемого в целях осуществления технологических процессов.</w:t>
      </w:r>
      <w:r/>
    </w:p>
    <w:p>
      <w:pPr>
        <w:pStyle w:val="998"/>
        <w:ind w:left="0" w:firstLine="709"/>
        <w:jc w:val="both"/>
      </w:pPr>
      <w:r>
        <w:t xml:space="preserve">12. Образец оформления конъюнктурного анализа </w:t>
      </w:r>
      <w:r/>
    </w:p>
    <w:p>
      <w:pPr>
        <w:jc w:val="center"/>
        <w:rPr>
          <w:sz w:val="24"/>
          <w:szCs w:val="24"/>
          <w:highlight w:val="yellow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  <wp:simplePos x="0" y="0"/>
                <wp:positionH relativeFrom="column">
                  <wp:posOffset>-93346</wp:posOffset>
                </wp:positionH>
                <wp:positionV relativeFrom="paragraph">
                  <wp:posOffset>145415</wp:posOffset>
                </wp:positionV>
                <wp:extent cx="6924675" cy="3505200"/>
                <wp:effectExtent l="0" t="0" r="9525" b="0"/>
                <wp:wrapSquare wrapText="bothSides"/>
                <wp:docPr id="2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54144593" name="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924675" cy="3505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text;margin-left:-7.35pt;mso-position-horizontal:absolute;mso-position-vertical-relative:text;margin-top:11.45pt;mso-position-vertical:absolute;width:545.25pt;height:276.00pt;mso-wrap-distance-left:0.00pt;mso-wrap-distance-top:0.00pt;mso-wrap-distance-right:0.00pt;mso-wrap-distance-bottom:0.00pt;" stroked="f">
                <v:path textboxrect="0,0,0,0"/>
                <w10:wrap type="square"/>
                <v:imagedata r:id="rId14" o:title=""/>
              </v:shape>
            </w:pict>
          </mc:Fallback>
        </mc:AlternateConten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</w:pPr>
      <w:r>
        <w:rPr>
          <w:sz w:val="24"/>
          <w:szCs w:val="24"/>
        </w:rPr>
        <w:t xml:space="preserve">Составил______________________________________________</w:t>
      </w:r>
      <w:r/>
    </w:p>
    <w:p>
      <w:pPr>
        <w:ind w:firstLine="709"/>
      </w:pPr>
      <w:r>
        <w:rPr>
          <w:sz w:val="24"/>
          <w:szCs w:val="24"/>
        </w:rPr>
        <w:t xml:space="preserve">                               (должность, подпись (инициалы, фамилия)</w:t>
      </w:r>
      <w:r/>
    </w:p>
    <w:p>
      <w:pPr>
        <w:pStyle w:val="998"/>
        <w:ind w:left="0" w:firstLine="709"/>
        <w:jc w:val="both"/>
      </w:pPr>
      <w:r>
        <w:t xml:space="preserve">Проверил_______________________________________________</w:t>
      </w:r>
      <w:r/>
    </w:p>
    <w:p>
      <w:pPr>
        <w:pStyle w:val="998"/>
        <w:ind w:left="0" w:firstLine="709"/>
        <w:jc w:val="both"/>
      </w:pPr>
      <w:r>
        <w:t xml:space="preserve">                                (должность, подпись (инициалы, фамилия)</w:t>
      </w:r>
      <w:r/>
    </w:p>
    <w:p>
      <w:pPr>
        <w:pStyle w:val="998"/>
        <w:ind w:left="0" w:firstLine="709"/>
        <w:jc w:val="both"/>
      </w:pPr>
      <w:r/>
      <w:r/>
    </w:p>
    <w:p>
      <w:pPr>
        <w:pStyle w:val="998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Примечание.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3. Анализируются сопоставимые элементы стоимости материальных ресурсов (отпускные цены, сметные с учетом транспортных затрат), затрат.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4. В случае, если текущая отпускная цена за ед. изм. в обосновывающем документе указана с учетом доставки до приобъектного склада, то графа 9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Данные граф 2, 4, 9 - 11, 20 для прочих затрат заполняются при их наличии.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6. При отсутствии в обосновывающих стоимост</w:t>
      </w:r>
      <w:r>
        <w:rPr>
          <w:i/>
          <w:sz w:val="20"/>
          <w:szCs w:val="20"/>
        </w:rPr>
        <w:t xml:space="preserve">ь материальных ресурсов, оборудования, работ и услуг документах производителей и (или) поставщиков сведений по графам 16 - 20 соответствующие графы формы конъюнктурного анализа заполняются на основании информации из открытых и (или) официальных источников.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7. При отсутствии у производителя (поставщика) веб-сайта графа 18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98"/>
        <w:ind w:left="0"/>
        <w:jc w:val="both"/>
      </w:pPr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rPr>
        <w:rStyle w:val="965"/>
      </w:rPr>
      <w:framePr w:wrap="around" w:vAnchor="text" w:hAnchor="margin" w:xAlign="center" w:y="1"/>
    </w:pPr>
    <w:r>
      <w:rPr>
        <w:rStyle w:val="965"/>
      </w:rPr>
      <w:fldChar w:fldCharType="begin"/>
    </w:r>
    <w:r>
      <w:rPr>
        <w:rStyle w:val="965"/>
      </w:rPr>
      <w:instrText xml:space="preserve">PAGE  </w:instrText>
    </w:r>
    <w:r>
      <w:rPr>
        <w:rStyle w:val="965"/>
      </w:rPr>
      <w:fldChar w:fldCharType="separate"/>
    </w:r>
    <w:r>
      <w:rPr>
        <w:rStyle w:val="965"/>
      </w:rPr>
      <w:t xml:space="preserve">6</w:t>
    </w:r>
    <w:r>
      <w:rPr>
        <w:rStyle w:val="965"/>
      </w:rPr>
      <w:fldChar w:fldCharType="end"/>
    </w:r>
    <w:r>
      <w:rPr>
        <w:rStyle w:val="965"/>
      </w:rPr>
    </w:r>
    <w:r>
      <w:rPr>
        <w:rStyle w:val="965"/>
      </w:rPr>
    </w:r>
  </w:p>
  <w:p>
    <w:pPr>
      <w:pStyle w:val="95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044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2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3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6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5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4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6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22"/>
    <w:lvl w:ilvl="0">
      <w:start w:val="3"/>
      <w:numFmt w:val="decimal"/>
      <w:pStyle w:val="102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4"/>
      <w:numFmt w:val="bullet"/>
      <w:pStyle w:val="1013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4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2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78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9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8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25">
    <w:multiLevelType w:val="hybridMultilevel"/>
    <w:styleLink w:val="1026"/>
    <w:lvl w:ilvl="0">
      <w:start w:val="1"/>
      <w:numFmt w:val="decimal"/>
      <w:pStyle w:val="1026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9"/>
  </w:num>
  <w:num w:numId="5">
    <w:abstractNumId w:val="25"/>
  </w:num>
  <w:num w:numId="6">
    <w:abstractNumId w:val="11"/>
  </w:num>
  <w:num w:numId="7">
    <w:abstractNumId w:val="5"/>
  </w:num>
  <w:num w:numId="8">
    <w:abstractNumId w:val="22"/>
  </w:num>
  <w:num w:numId="9">
    <w:abstractNumId w:val="18"/>
  </w:num>
  <w:num w:numId="10">
    <w:abstractNumId w:val="2"/>
  </w:num>
  <w:num w:numId="11">
    <w:abstractNumId w:val="1"/>
  </w:num>
  <w:num w:numId="12">
    <w:abstractNumId w:val="29"/>
  </w:num>
  <w:num w:numId="13">
    <w:abstractNumId w:val="15"/>
  </w:num>
  <w:num w:numId="14">
    <w:abstractNumId w:val="24"/>
  </w:num>
  <w:num w:numId="15">
    <w:abstractNumId w:val="21"/>
  </w:num>
  <w:num w:numId="16">
    <w:abstractNumId w:val="9"/>
  </w:num>
  <w:num w:numId="17">
    <w:abstractNumId w:val="20"/>
  </w:num>
  <w:num w:numId="18">
    <w:abstractNumId w:val="32"/>
  </w:num>
  <w:num w:numId="19">
    <w:abstractNumId w:val="27"/>
  </w:num>
  <w:num w:numId="20">
    <w:abstractNumId w:val="31"/>
  </w:num>
  <w:num w:numId="21">
    <w:abstractNumId w:val="8"/>
  </w:num>
  <w:num w:numId="22">
    <w:abstractNumId w:val="0"/>
  </w:num>
  <w:num w:numId="23">
    <w:abstractNumId w:val="23"/>
  </w:num>
  <w:num w:numId="24">
    <w:abstractNumId w:val="28"/>
  </w:num>
  <w:num w:numId="25">
    <w:abstractNumId w:val="6"/>
  </w:num>
  <w:num w:numId="26">
    <w:abstractNumId w:val="7"/>
  </w:num>
  <w:num w:numId="27">
    <w:abstractNumId w:val="26"/>
  </w:num>
  <w:num w:numId="28">
    <w:abstractNumId w:val="4"/>
  </w:num>
  <w:num w:numId="29">
    <w:abstractNumId w:val="14"/>
  </w:num>
  <w:num w:numId="30">
    <w:abstractNumId w:val="3"/>
  </w:num>
  <w:num w:numId="31">
    <w:abstractNumId w:val="13"/>
  </w:num>
  <w:num w:numId="32">
    <w:abstractNumId w:val="30"/>
  </w:num>
  <w:num w:numId="33">
    <w:abstractNumId w:val="10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5">
    <w:name w:val="Title Char"/>
    <w:basedOn w:val="796"/>
    <w:link w:val="808"/>
    <w:uiPriority w:val="10"/>
    <w:rPr>
      <w:sz w:val="48"/>
      <w:szCs w:val="48"/>
    </w:rPr>
  </w:style>
  <w:style w:type="character" w:styleId="766">
    <w:name w:val="Caption Char"/>
    <w:basedOn w:val="993"/>
    <w:link w:val="956"/>
    <w:uiPriority w:val="99"/>
  </w:style>
  <w:style w:type="table" w:styleId="767">
    <w:name w:val="Plain Table 1"/>
    <w:basedOn w:val="7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7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5 Dark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7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7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86" w:default="1">
    <w:name w:val="Normal"/>
    <w:qFormat/>
    <w:rPr>
      <w:sz w:val="28"/>
      <w:szCs w:val="28"/>
    </w:rPr>
  </w:style>
  <w:style w:type="paragraph" w:styleId="787">
    <w:name w:val="Heading 1"/>
    <w:basedOn w:val="789"/>
    <w:next w:val="786"/>
    <w:link w:val="985"/>
    <w:qFormat/>
    <w:pPr>
      <w:numPr>
        <w:ilvl w:val="0"/>
      </w:numPr>
      <w:outlineLvl w:val="0"/>
    </w:pPr>
    <w:rPr>
      <w:sz w:val="28"/>
      <w:szCs w:val="28"/>
    </w:rPr>
  </w:style>
  <w:style w:type="paragraph" w:styleId="788">
    <w:name w:val="Heading 2"/>
    <w:basedOn w:val="790"/>
    <w:next w:val="786"/>
    <w:link w:val="987"/>
    <w:qFormat/>
    <w:pPr>
      <w:outlineLvl w:val="1"/>
    </w:pPr>
  </w:style>
  <w:style w:type="paragraph" w:styleId="789">
    <w:name w:val="Heading 3"/>
    <w:basedOn w:val="786"/>
    <w:next w:val="786"/>
    <w:link w:val="988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90">
    <w:name w:val="Heading 4"/>
    <w:basedOn w:val="789"/>
    <w:next w:val="786"/>
    <w:link w:val="989"/>
    <w:qFormat/>
    <w:pPr>
      <w:numPr>
        <w:ilvl w:val="1"/>
      </w:numPr>
      <w:outlineLvl w:val="3"/>
    </w:pPr>
    <w:rPr>
      <w:bCs/>
    </w:rPr>
  </w:style>
  <w:style w:type="paragraph" w:styleId="791">
    <w:name w:val="Heading 5"/>
    <w:basedOn w:val="786"/>
    <w:next w:val="786"/>
    <w:link w:val="99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2">
    <w:name w:val="Heading 6"/>
    <w:basedOn w:val="786"/>
    <w:next w:val="786"/>
    <w:link w:val="982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3">
    <w:name w:val="Heading 7"/>
    <w:basedOn w:val="786"/>
    <w:next w:val="786"/>
    <w:link w:val="983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4">
    <w:name w:val="Heading 8"/>
    <w:basedOn w:val="786"/>
    <w:next w:val="786"/>
    <w:link w:val="984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5">
    <w:name w:val="Heading 9"/>
    <w:basedOn w:val="786"/>
    <w:next w:val="786"/>
    <w:link w:val="991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6" w:default="1">
    <w:name w:val="Default Paragraph Font"/>
    <w:uiPriority w:val="1"/>
    <w:semiHidden/>
    <w:unhideWhenUsed/>
  </w:style>
  <w:style w:type="table" w:styleId="7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8" w:default="1">
    <w:name w:val="No List"/>
    <w:uiPriority w:val="99"/>
    <w:semiHidden/>
    <w:unhideWhenUsed/>
  </w:style>
  <w:style w:type="character" w:styleId="799" w:customStyle="1">
    <w:name w:val="Heading 1 Char"/>
    <w:basedOn w:val="796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Heading 2 Char"/>
    <w:basedOn w:val="796"/>
    <w:uiPriority w:val="9"/>
    <w:rPr>
      <w:rFonts w:ascii="Arial" w:hAnsi="Arial" w:eastAsia="Arial" w:cs="Arial"/>
      <w:sz w:val="34"/>
    </w:rPr>
  </w:style>
  <w:style w:type="character" w:styleId="801" w:customStyle="1">
    <w:name w:val="Heading 3 Char"/>
    <w:basedOn w:val="7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Heading 4 Char"/>
    <w:basedOn w:val="796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Heading 5 Char"/>
    <w:basedOn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Heading 6 Char"/>
    <w:basedOn w:val="796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Heading 7 Char"/>
    <w:basedOn w:val="7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Heading 8 Char"/>
    <w:basedOn w:val="796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Heading 9 Char"/>
    <w:basedOn w:val="796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Title"/>
    <w:basedOn w:val="786"/>
    <w:next w:val="786"/>
    <w:link w:val="8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9" w:customStyle="1">
    <w:name w:val="Заголовок Знак"/>
    <w:basedOn w:val="796"/>
    <w:link w:val="808"/>
    <w:uiPriority w:val="10"/>
    <w:rPr>
      <w:sz w:val="48"/>
      <w:szCs w:val="48"/>
    </w:rPr>
  </w:style>
  <w:style w:type="character" w:styleId="810" w:customStyle="1">
    <w:name w:val="Subtitle Char"/>
    <w:basedOn w:val="796"/>
    <w:uiPriority w:val="11"/>
    <w:rPr>
      <w:sz w:val="24"/>
      <w:szCs w:val="24"/>
    </w:rPr>
  </w:style>
  <w:style w:type="character" w:styleId="811" w:customStyle="1">
    <w:name w:val="Quote Char"/>
    <w:uiPriority w:val="29"/>
    <w:rPr>
      <w:i/>
    </w:rPr>
  </w:style>
  <w:style w:type="character" w:styleId="812" w:customStyle="1">
    <w:name w:val="Intense Quote Char"/>
    <w:uiPriority w:val="30"/>
    <w:rPr>
      <w:i/>
    </w:rPr>
  </w:style>
  <w:style w:type="character" w:styleId="813" w:customStyle="1">
    <w:name w:val="Header Char"/>
    <w:basedOn w:val="796"/>
    <w:uiPriority w:val="99"/>
  </w:style>
  <w:style w:type="character" w:styleId="814" w:customStyle="1">
    <w:name w:val="Footer Char"/>
    <w:basedOn w:val="796"/>
    <w:uiPriority w:val="99"/>
  </w:style>
  <w:style w:type="character" w:styleId="815" w:customStyle="1">
    <w:name w:val="Нижний колонтитул Знак"/>
    <w:link w:val="956"/>
    <w:uiPriority w:val="99"/>
  </w:style>
  <w:style w:type="table" w:styleId="816" w:customStyle="1">
    <w:name w:val="Table Grid Light"/>
    <w:basedOn w:val="7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7" w:customStyle="1">
    <w:name w:val="Таблица простая 11"/>
    <w:basedOn w:val="7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 w:customStyle="1">
    <w:name w:val="Таблица простая 21"/>
    <w:basedOn w:val="79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 w:customStyle="1">
    <w:name w:val="Таблица простая 31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 w:customStyle="1">
    <w:name w:val="Таблица простая 41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Таблица простая 51"/>
    <w:basedOn w:val="7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 w:customStyle="1">
    <w:name w:val="Таблица-сетка 1 светлая1"/>
    <w:basedOn w:val="79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1"/>
    <w:basedOn w:val="79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2"/>
    <w:basedOn w:val="79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3"/>
    <w:basedOn w:val="79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4"/>
    <w:basedOn w:val="79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5"/>
    <w:basedOn w:val="79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6"/>
    <w:basedOn w:val="79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Таблица-сетка 21"/>
    <w:basedOn w:val="7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1"/>
    <w:basedOn w:val="79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2"/>
    <w:basedOn w:val="79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3"/>
    <w:basedOn w:val="79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4"/>
    <w:basedOn w:val="79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5"/>
    <w:basedOn w:val="79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6"/>
    <w:basedOn w:val="79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Таблица-сетка 31"/>
    <w:basedOn w:val="7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1"/>
    <w:basedOn w:val="79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2"/>
    <w:basedOn w:val="79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3"/>
    <w:basedOn w:val="79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4"/>
    <w:basedOn w:val="79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5"/>
    <w:basedOn w:val="79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6"/>
    <w:basedOn w:val="79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Таблица-сетка 41"/>
    <w:basedOn w:val="79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 w:customStyle="1">
    <w:name w:val="Grid Table 4 - Accent 1"/>
    <w:basedOn w:val="79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5" w:customStyle="1">
    <w:name w:val="Grid Table 4 - Accent 2"/>
    <w:basedOn w:val="79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6" w:customStyle="1">
    <w:name w:val="Grid Table 4 - Accent 3"/>
    <w:basedOn w:val="79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7" w:customStyle="1">
    <w:name w:val="Grid Table 4 - Accent 4"/>
    <w:basedOn w:val="79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8" w:customStyle="1">
    <w:name w:val="Grid Table 4 - Accent 5"/>
    <w:basedOn w:val="79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9" w:customStyle="1">
    <w:name w:val="Grid Table 4 - Accent 6"/>
    <w:basedOn w:val="79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0" w:customStyle="1">
    <w:name w:val="Таблица-сетка 5 темная1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1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2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3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- Accent 4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5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6"/>
    <w:basedOn w:val="7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7" w:customStyle="1">
    <w:name w:val="Таблица-сетка 6 цветная1"/>
    <w:basedOn w:val="79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8" w:customStyle="1">
    <w:name w:val="Grid Table 6 Colorful - Accent 1"/>
    <w:basedOn w:val="79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9" w:customStyle="1">
    <w:name w:val="Grid Table 6 Colorful - Accent 2"/>
    <w:basedOn w:val="79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0" w:customStyle="1">
    <w:name w:val="Grid Table 6 Colorful - Accent 3"/>
    <w:basedOn w:val="79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1" w:customStyle="1">
    <w:name w:val="Grid Table 6 Colorful - Accent 4"/>
    <w:basedOn w:val="79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2" w:customStyle="1">
    <w:name w:val="Grid Table 6 Colorful - Accent 5"/>
    <w:basedOn w:val="79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3" w:customStyle="1">
    <w:name w:val="Grid Table 6 Colorful - Accent 6"/>
    <w:basedOn w:val="79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4" w:customStyle="1">
    <w:name w:val="Таблица-сетка 7 цветная1"/>
    <w:basedOn w:val="79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1"/>
    <w:basedOn w:val="79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2"/>
    <w:basedOn w:val="79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3"/>
    <w:basedOn w:val="79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4"/>
    <w:basedOn w:val="79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5"/>
    <w:basedOn w:val="79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6"/>
    <w:basedOn w:val="79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Список-таблица 1 светлая1"/>
    <w:basedOn w:val="79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1"/>
    <w:basedOn w:val="797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2"/>
    <w:basedOn w:val="79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3"/>
    <w:basedOn w:val="79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4"/>
    <w:basedOn w:val="79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5"/>
    <w:basedOn w:val="797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6"/>
    <w:basedOn w:val="79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Список-таблица 21"/>
    <w:basedOn w:val="79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1"/>
    <w:basedOn w:val="79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2"/>
    <w:basedOn w:val="79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3"/>
    <w:basedOn w:val="79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4"/>
    <w:basedOn w:val="79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5"/>
    <w:basedOn w:val="79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6"/>
    <w:basedOn w:val="79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5" w:customStyle="1">
    <w:name w:val="Список-таблица 31"/>
    <w:basedOn w:val="7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1"/>
    <w:basedOn w:val="79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2"/>
    <w:basedOn w:val="79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3"/>
    <w:basedOn w:val="79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4"/>
    <w:basedOn w:val="79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5"/>
    <w:basedOn w:val="79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6"/>
    <w:basedOn w:val="79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Список-таблица 41"/>
    <w:basedOn w:val="7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1"/>
    <w:basedOn w:val="79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2"/>
    <w:basedOn w:val="79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3"/>
    <w:basedOn w:val="79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4"/>
    <w:basedOn w:val="79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5"/>
    <w:basedOn w:val="79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6"/>
    <w:basedOn w:val="79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Список-таблица 5 темная1"/>
    <w:basedOn w:val="79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1"/>
    <w:basedOn w:val="79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2"/>
    <w:basedOn w:val="79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3"/>
    <w:basedOn w:val="79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4"/>
    <w:basedOn w:val="79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5"/>
    <w:basedOn w:val="79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6"/>
    <w:basedOn w:val="79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Список-таблица 6 цветная1"/>
    <w:basedOn w:val="79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7" w:customStyle="1">
    <w:name w:val="List Table 6 Colorful - Accent 1"/>
    <w:basedOn w:val="79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08" w:customStyle="1">
    <w:name w:val="List Table 6 Colorful - Accent 2"/>
    <w:basedOn w:val="79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9" w:customStyle="1">
    <w:name w:val="List Table 6 Colorful - Accent 3"/>
    <w:basedOn w:val="79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0" w:customStyle="1">
    <w:name w:val="List Table 6 Colorful - Accent 4"/>
    <w:basedOn w:val="79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1" w:customStyle="1">
    <w:name w:val="List Table 6 Colorful - Accent 5"/>
    <w:basedOn w:val="79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12" w:customStyle="1">
    <w:name w:val="List Table 6 Colorful - Accent 6"/>
    <w:basedOn w:val="79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3" w:customStyle="1">
    <w:name w:val="Список-таблица 7 цветная1"/>
    <w:basedOn w:val="79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1"/>
    <w:basedOn w:val="79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2"/>
    <w:basedOn w:val="79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3"/>
    <w:basedOn w:val="79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4"/>
    <w:basedOn w:val="79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5"/>
    <w:basedOn w:val="79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6"/>
    <w:basedOn w:val="79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ned - Accent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1" w:customStyle="1">
    <w:name w:val="Lined - Accent 1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2" w:customStyle="1">
    <w:name w:val="Lined - Accent 2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3" w:customStyle="1">
    <w:name w:val="Lined - Accent 3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4" w:customStyle="1">
    <w:name w:val="Lined - Accent 4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5" w:customStyle="1">
    <w:name w:val="Lined - Accent 5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6" w:customStyle="1">
    <w:name w:val="Lined - Accent 6"/>
    <w:basedOn w:val="7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7" w:customStyle="1">
    <w:name w:val="Bordered &amp; Lined - Accent"/>
    <w:basedOn w:val="79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Bordered &amp; Lined - Accent 1"/>
    <w:basedOn w:val="797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9" w:customStyle="1">
    <w:name w:val="Bordered &amp; Lined - Accent 2"/>
    <w:basedOn w:val="79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0" w:customStyle="1">
    <w:name w:val="Bordered &amp; Lined - Accent 3"/>
    <w:basedOn w:val="79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1" w:customStyle="1">
    <w:name w:val="Bordered &amp; Lined - Accent 4"/>
    <w:basedOn w:val="79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2" w:customStyle="1">
    <w:name w:val="Bordered &amp; Lined - Accent 5"/>
    <w:basedOn w:val="797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3" w:customStyle="1">
    <w:name w:val="Bordered &amp; Lined - Accent 6"/>
    <w:basedOn w:val="79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4" w:customStyle="1">
    <w:name w:val="Bordered"/>
    <w:basedOn w:val="79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5" w:customStyle="1">
    <w:name w:val="Bordered - Accent 1"/>
    <w:basedOn w:val="79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36" w:customStyle="1">
    <w:name w:val="Bordered - Accent 2"/>
    <w:basedOn w:val="79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7" w:customStyle="1">
    <w:name w:val="Bordered - Accent 3"/>
    <w:basedOn w:val="79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8" w:customStyle="1">
    <w:name w:val="Bordered - Accent 4"/>
    <w:basedOn w:val="79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9" w:customStyle="1">
    <w:name w:val="Bordered - Accent 5"/>
    <w:basedOn w:val="79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40" w:customStyle="1">
    <w:name w:val="Bordered - Accent 6"/>
    <w:basedOn w:val="79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1" w:customStyle="1">
    <w:name w:val="Footnote Text Char"/>
    <w:uiPriority w:val="99"/>
    <w:rPr>
      <w:sz w:val="18"/>
    </w:rPr>
  </w:style>
  <w:style w:type="character" w:styleId="942" w:customStyle="1">
    <w:name w:val="Endnote Text Char"/>
    <w:uiPriority w:val="99"/>
    <w:rPr>
      <w:sz w:val="20"/>
    </w:rPr>
  </w:style>
  <w:style w:type="paragraph" w:styleId="943">
    <w:name w:val="table of figures"/>
    <w:basedOn w:val="786"/>
    <w:next w:val="786"/>
    <w:uiPriority w:val="99"/>
    <w:unhideWhenUsed/>
  </w:style>
  <w:style w:type="paragraph" w:styleId="944" w:customStyle="1">
    <w:name w:val="Название раздела инструкции"/>
    <w:basedOn w:val="786"/>
    <w:pPr>
      <w:jc w:val="center"/>
    </w:pPr>
    <w:rPr>
      <w:b/>
    </w:rPr>
  </w:style>
  <w:style w:type="paragraph" w:styleId="945" w:customStyle="1">
    <w:name w:val="Раздел положения"/>
    <w:basedOn w:val="78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6" w:customStyle="1">
    <w:name w:val="Подраздел раздела положения"/>
    <w:basedOn w:val="786"/>
    <w:pPr>
      <w:numPr>
        <w:ilvl w:val="1"/>
        <w:numId w:val="1"/>
      </w:numPr>
      <w:jc w:val="both"/>
      <w:spacing w:before="80" w:after="80"/>
    </w:pPr>
  </w:style>
  <w:style w:type="paragraph" w:styleId="947">
    <w:name w:val="footnote text"/>
    <w:basedOn w:val="786"/>
    <w:link w:val="1021"/>
    <w:uiPriority w:val="99"/>
    <w:rPr>
      <w:sz w:val="20"/>
      <w:szCs w:val="20"/>
    </w:rPr>
  </w:style>
  <w:style w:type="character" w:styleId="948">
    <w:name w:val="footnote reference"/>
    <w:uiPriority w:val="99"/>
    <w:rPr>
      <w:vertAlign w:val="superscript"/>
    </w:rPr>
  </w:style>
  <w:style w:type="paragraph" w:styleId="949" w:customStyle="1">
    <w:name w:val="Шапка 1"/>
    <w:basedOn w:val="78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0" w:customStyle="1">
    <w:name w:val="Шапка 2"/>
    <w:basedOn w:val="78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1" w:customStyle="1">
    <w:name w:val="Шапка 3"/>
    <w:basedOn w:val="78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2" w:customStyle="1">
    <w:name w:val="Название1"/>
    <w:basedOn w:val="786"/>
    <w:link w:val="994"/>
    <w:uiPriority w:val="10"/>
    <w:qFormat/>
    <w:pPr>
      <w:jc w:val="center"/>
    </w:pPr>
    <w:rPr>
      <w:szCs w:val="20"/>
    </w:rPr>
  </w:style>
  <w:style w:type="paragraph" w:styleId="953">
    <w:name w:val="Header"/>
    <w:basedOn w:val="786"/>
    <w:link w:val="1038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4">
    <w:name w:val="Body Text Indent"/>
    <w:basedOn w:val="786"/>
    <w:pPr>
      <w:ind w:left="360"/>
    </w:pPr>
    <w:rPr>
      <w:sz w:val="24"/>
      <w:szCs w:val="24"/>
    </w:rPr>
  </w:style>
  <w:style w:type="table" w:styleId="955">
    <w:name w:val="Table Grid"/>
    <w:basedOn w:val="79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6">
    <w:name w:val="Footer"/>
    <w:basedOn w:val="786"/>
    <w:link w:val="815"/>
    <w:pPr>
      <w:tabs>
        <w:tab w:val="center" w:pos="4677" w:leader="none"/>
        <w:tab w:val="right" w:pos="9355" w:leader="none"/>
      </w:tabs>
    </w:pPr>
  </w:style>
  <w:style w:type="paragraph" w:styleId="957">
    <w:name w:val="Body Text"/>
    <w:basedOn w:val="786"/>
    <w:link w:val="1024"/>
    <w:pPr>
      <w:spacing w:after="120"/>
    </w:pPr>
  </w:style>
  <w:style w:type="paragraph" w:styleId="958">
    <w:name w:val="Body Text Indent 2"/>
    <w:basedOn w:val="786"/>
    <w:pPr>
      <w:ind w:left="283"/>
      <w:spacing w:after="120" w:line="480" w:lineRule="auto"/>
    </w:pPr>
  </w:style>
  <w:style w:type="paragraph" w:styleId="959">
    <w:name w:val="Body Text 3"/>
    <w:basedOn w:val="786"/>
    <w:pPr>
      <w:spacing w:after="120"/>
    </w:pPr>
    <w:rPr>
      <w:sz w:val="16"/>
      <w:szCs w:val="16"/>
    </w:rPr>
  </w:style>
  <w:style w:type="paragraph" w:styleId="960">
    <w:name w:val="Body Text Indent 3"/>
    <w:basedOn w:val="786"/>
    <w:link w:val="1055"/>
    <w:pPr>
      <w:ind w:left="283"/>
      <w:spacing w:after="120"/>
    </w:pPr>
    <w:rPr>
      <w:sz w:val="16"/>
      <w:szCs w:val="16"/>
    </w:rPr>
  </w:style>
  <w:style w:type="paragraph" w:styleId="961">
    <w:name w:val="Body Text 2"/>
    <w:basedOn w:val="786"/>
    <w:pPr>
      <w:spacing w:after="120" w:line="480" w:lineRule="auto"/>
    </w:pPr>
  </w:style>
  <w:style w:type="paragraph" w:styleId="962">
    <w:name w:val="Block Text"/>
    <w:basedOn w:val="786"/>
    <w:pPr>
      <w:ind w:left="-567" w:right="-766"/>
      <w:jc w:val="center"/>
    </w:pPr>
    <w:rPr>
      <w:b/>
      <w:bCs/>
      <w:sz w:val="24"/>
      <w:szCs w:val="20"/>
    </w:rPr>
  </w:style>
  <w:style w:type="paragraph" w:styleId="963" w:customStyle="1">
    <w:name w:val="Подпункт"/>
    <w:basedOn w:val="786"/>
    <w:link w:val="1019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4" w:customStyle="1">
    <w:name w:val="Пункт2"/>
    <w:basedOn w:val="786"/>
    <w:link w:val="1045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5">
    <w:name w:val="page number"/>
    <w:basedOn w:val="796"/>
  </w:style>
  <w:style w:type="paragraph" w:styleId="966">
    <w:name w:val="toc 1"/>
    <w:basedOn w:val="786"/>
    <w:next w:val="786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7">
    <w:name w:val="toc 3"/>
    <w:basedOn w:val="786"/>
    <w:next w:val="786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68">
    <w:name w:val="Hyperlink"/>
    <w:uiPriority w:val="99"/>
    <w:rPr>
      <w:color w:val="0000ff"/>
      <w:u w:val="single"/>
    </w:rPr>
  </w:style>
  <w:style w:type="paragraph" w:styleId="969" w:customStyle="1">
    <w:name w:val="Раздел регламента"/>
    <w:basedOn w:val="786"/>
  </w:style>
  <w:style w:type="paragraph" w:styleId="970" w:customStyle="1">
    <w:name w:val="Приложение к регламенту"/>
    <w:basedOn w:val="786"/>
    <w:pPr>
      <w:jc w:val="right"/>
    </w:pPr>
  </w:style>
  <w:style w:type="paragraph" w:styleId="971">
    <w:name w:val="toc 2"/>
    <w:basedOn w:val="786"/>
    <w:next w:val="786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2">
    <w:name w:val="Balloon Text"/>
    <w:basedOn w:val="786"/>
    <w:semiHidden/>
    <w:rPr>
      <w:rFonts w:ascii="Tahoma" w:hAnsi="Tahoma" w:cs="Tahoma"/>
      <w:sz w:val="16"/>
      <w:szCs w:val="16"/>
    </w:rPr>
  </w:style>
  <w:style w:type="character" w:styleId="973">
    <w:name w:val="annotation reference"/>
    <w:uiPriority w:val="99"/>
    <w:semiHidden/>
    <w:rPr>
      <w:sz w:val="16"/>
      <w:szCs w:val="16"/>
    </w:rPr>
  </w:style>
  <w:style w:type="paragraph" w:styleId="974">
    <w:name w:val="annotation text"/>
    <w:basedOn w:val="786"/>
    <w:link w:val="1039"/>
    <w:uiPriority w:val="99"/>
    <w:rPr>
      <w:sz w:val="20"/>
      <w:szCs w:val="20"/>
    </w:rPr>
  </w:style>
  <w:style w:type="paragraph" w:styleId="975">
    <w:name w:val="annotation subject"/>
    <w:basedOn w:val="974"/>
    <w:next w:val="974"/>
    <w:semiHidden/>
    <w:rPr>
      <w:b/>
      <w:bCs/>
    </w:rPr>
  </w:style>
  <w:style w:type="paragraph" w:styleId="976" w:customStyle="1">
    <w:name w:val="Обычный (веб)1"/>
    <w:basedOn w:val="78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7">
    <w:name w:val="toc 9"/>
    <w:basedOn w:val="786"/>
    <w:next w:val="78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8">
    <w:name w:val="toc 5"/>
    <w:basedOn w:val="786"/>
    <w:next w:val="78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9">
    <w:name w:val="toc 4"/>
    <w:basedOn w:val="786"/>
    <w:next w:val="786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80" w:customStyle="1">
    <w:name w:val="Раздел положения 2"/>
    <w:basedOn w:val="786"/>
    <w:pPr>
      <w:jc w:val="both"/>
      <w:pageBreakBefore/>
      <w:outlineLvl w:val="0"/>
    </w:pPr>
    <w:rPr>
      <w:b/>
    </w:rPr>
  </w:style>
  <w:style w:type="character" w:styleId="981">
    <w:name w:val="Strong"/>
    <w:qFormat/>
    <w:rPr>
      <w:b/>
      <w:bCs/>
    </w:rPr>
  </w:style>
  <w:style w:type="character" w:styleId="982" w:customStyle="1">
    <w:name w:val="Заголовок 6 Знак"/>
    <w:link w:val="792"/>
    <w:uiPriority w:val="9"/>
    <w:rPr>
      <w:rFonts w:ascii="Cambria" w:hAnsi="Cambria"/>
      <w:i/>
      <w:iCs/>
      <w:color w:val="243f60"/>
    </w:rPr>
  </w:style>
  <w:style w:type="character" w:styleId="983" w:customStyle="1">
    <w:name w:val="Заголовок 7 Знак"/>
    <w:link w:val="793"/>
    <w:uiPriority w:val="9"/>
    <w:rPr>
      <w:rFonts w:ascii="Cambria" w:hAnsi="Cambria"/>
      <w:i/>
      <w:iCs/>
      <w:color w:val="404040"/>
    </w:rPr>
  </w:style>
  <w:style w:type="character" w:styleId="984" w:customStyle="1">
    <w:name w:val="Заголовок 8 Знак"/>
    <w:link w:val="794"/>
    <w:uiPriority w:val="9"/>
    <w:rPr>
      <w:rFonts w:ascii="Cambria" w:hAnsi="Cambria"/>
      <w:color w:val="4f81bd"/>
    </w:rPr>
  </w:style>
  <w:style w:type="character" w:styleId="985" w:customStyle="1">
    <w:name w:val="Заголовок 1 Знак"/>
    <w:link w:val="787"/>
    <w:rPr>
      <w:rFonts w:eastAsia="Calibri"/>
      <w:b/>
      <w:sz w:val="28"/>
      <w:szCs w:val="28"/>
    </w:rPr>
  </w:style>
  <w:style w:type="paragraph" w:styleId="986" w:customStyle="1">
    <w:name w:val="Знак Знак Знак Знак Знак Знак Знак Знак Знак"/>
    <w:basedOn w:val="78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7" w:customStyle="1">
    <w:name w:val="Заголовок 2 Знак"/>
    <w:link w:val="788"/>
    <w:rPr>
      <w:rFonts w:eastAsia="Calibri"/>
      <w:b/>
      <w:bCs/>
      <w:sz w:val="24"/>
      <w:szCs w:val="24"/>
    </w:rPr>
  </w:style>
  <w:style w:type="character" w:styleId="988" w:customStyle="1">
    <w:name w:val="Заголовок 3 Знак"/>
    <w:link w:val="789"/>
    <w:rPr>
      <w:rFonts w:eastAsia="Calibri"/>
      <w:b/>
      <w:sz w:val="24"/>
      <w:szCs w:val="24"/>
    </w:rPr>
  </w:style>
  <w:style w:type="character" w:styleId="989" w:customStyle="1">
    <w:name w:val="Заголовок 4 Знак"/>
    <w:link w:val="790"/>
    <w:rPr>
      <w:rFonts w:eastAsia="Calibri"/>
      <w:b/>
      <w:bCs/>
      <w:sz w:val="24"/>
      <w:szCs w:val="24"/>
    </w:rPr>
  </w:style>
  <w:style w:type="character" w:styleId="990" w:customStyle="1">
    <w:name w:val="Заголовок 5 Знак"/>
    <w:link w:val="791"/>
    <w:uiPriority w:val="9"/>
    <w:rPr>
      <w:b/>
      <w:bCs/>
      <w:i/>
      <w:iCs/>
      <w:sz w:val="26"/>
      <w:szCs w:val="26"/>
    </w:rPr>
  </w:style>
  <w:style w:type="character" w:styleId="991" w:customStyle="1">
    <w:name w:val="Заголовок 9 Знак"/>
    <w:link w:val="795"/>
    <w:uiPriority w:val="9"/>
    <w:rPr>
      <w:rFonts w:ascii="Arial" w:hAnsi="Arial" w:cs="Arial"/>
      <w:sz w:val="22"/>
      <w:szCs w:val="22"/>
    </w:rPr>
  </w:style>
  <w:style w:type="paragraph" w:styleId="992">
    <w:name w:val="No Spacing"/>
    <w:basedOn w:val="78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3">
    <w:name w:val="Caption"/>
    <w:basedOn w:val="786"/>
    <w:next w:val="786"/>
    <w:link w:val="76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4" w:customStyle="1">
    <w:name w:val="Название Знак"/>
    <w:link w:val="952"/>
    <w:uiPriority w:val="10"/>
    <w:rPr>
      <w:sz w:val="28"/>
    </w:rPr>
  </w:style>
  <w:style w:type="paragraph" w:styleId="995">
    <w:name w:val="Subtitle"/>
    <w:basedOn w:val="786"/>
    <w:next w:val="786"/>
    <w:link w:val="99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6" w:customStyle="1">
    <w:name w:val="Подзаголовок Знак"/>
    <w:link w:val="995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7">
    <w:name w:val="Emphasis"/>
    <w:uiPriority w:val="20"/>
    <w:qFormat/>
    <w:rPr>
      <w:i/>
      <w:iCs/>
    </w:rPr>
  </w:style>
  <w:style w:type="paragraph" w:styleId="998">
    <w:name w:val="List Paragraph"/>
    <w:basedOn w:val="786"/>
    <w:link w:val="1028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9">
    <w:name w:val="Quote"/>
    <w:basedOn w:val="786"/>
    <w:next w:val="786"/>
    <w:link w:val="1000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0" w:customStyle="1">
    <w:name w:val="Цитата 2 Знак"/>
    <w:link w:val="999"/>
    <w:uiPriority w:val="29"/>
    <w:rPr>
      <w:rFonts w:ascii="Calibri" w:hAnsi="Calibri" w:eastAsia="Calibri"/>
      <w:i/>
      <w:iCs/>
      <w:color w:val="000000"/>
    </w:rPr>
  </w:style>
  <w:style w:type="paragraph" w:styleId="1001">
    <w:name w:val="Intense Quote"/>
    <w:basedOn w:val="786"/>
    <w:next w:val="786"/>
    <w:link w:val="1002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2" w:customStyle="1">
    <w:name w:val="Выделенная цитата Знак"/>
    <w:link w:val="1001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3">
    <w:name w:val="Subtle Emphasis"/>
    <w:uiPriority w:val="19"/>
    <w:qFormat/>
    <w:rPr>
      <w:i/>
      <w:iCs/>
      <w:color w:val="808080"/>
    </w:rPr>
  </w:style>
  <w:style w:type="character" w:styleId="1004">
    <w:name w:val="Intense Emphasis"/>
    <w:uiPriority w:val="21"/>
    <w:qFormat/>
    <w:rPr>
      <w:b/>
      <w:bCs/>
      <w:i/>
      <w:iCs/>
      <w:color w:val="4f81bd"/>
    </w:rPr>
  </w:style>
  <w:style w:type="character" w:styleId="1005">
    <w:name w:val="Subtle Reference"/>
    <w:uiPriority w:val="31"/>
    <w:qFormat/>
    <w:rPr>
      <w:smallCaps/>
      <w:color w:val="c0504d"/>
      <w:u w:val="single"/>
    </w:rPr>
  </w:style>
  <w:style w:type="character" w:styleId="1006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7">
    <w:name w:val="Book Title"/>
    <w:uiPriority w:val="33"/>
    <w:qFormat/>
    <w:rPr>
      <w:b/>
      <w:bCs/>
      <w:smallCaps/>
      <w:spacing w:val="5"/>
    </w:rPr>
  </w:style>
  <w:style w:type="paragraph" w:styleId="1008">
    <w:name w:val="TOC Heading"/>
    <w:basedOn w:val="787"/>
    <w:next w:val="78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9">
    <w:name w:val="E-mail Signature"/>
    <w:basedOn w:val="786"/>
    <w:link w:val="1010"/>
    <w:uiPriority w:val="99"/>
    <w:unhideWhenUsed/>
    <w:rPr>
      <w:rFonts w:eastAsia="Calibri"/>
      <w:sz w:val="24"/>
      <w:szCs w:val="24"/>
    </w:rPr>
  </w:style>
  <w:style w:type="character" w:styleId="1010" w:customStyle="1">
    <w:name w:val="Электронная подпись Знак"/>
    <w:link w:val="1009"/>
    <w:uiPriority w:val="99"/>
    <w:rPr>
      <w:rFonts w:eastAsia="Calibri"/>
      <w:sz w:val="24"/>
      <w:szCs w:val="24"/>
    </w:rPr>
  </w:style>
  <w:style w:type="paragraph" w:styleId="1011" w:customStyle="1">
    <w:name w:val="Знак"/>
    <w:basedOn w:val="7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2" w:customStyle="1">
    <w:name w:val="Нумерованный список ур3"/>
    <w:basedOn w:val="78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3" w:customStyle="1">
    <w:name w:val="Нумерованный список 1"/>
    <w:basedOn w:val="78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4" w:customStyle="1">
    <w:name w:val="Нумерованный список ур2"/>
    <w:basedOn w:val="78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5">
    <w:name w:val="Revision"/>
    <w:hidden/>
    <w:uiPriority w:val="99"/>
    <w:semiHidden/>
    <w:rPr>
      <w:rFonts w:eastAsia="Calibri"/>
      <w:sz w:val="24"/>
      <w:szCs w:val="24"/>
    </w:rPr>
  </w:style>
  <w:style w:type="paragraph" w:styleId="1016" w:customStyle="1">
    <w:name w:val="ConsPlusNormal"/>
    <w:link w:val="1057"/>
    <w:pPr>
      <w:ind w:firstLine="720"/>
      <w:widowControl w:val="off"/>
    </w:pPr>
    <w:rPr>
      <w:rFonts w:ascii="Arial" w:hAnsi="Arial" w:cs="Arial"/>
    </w:rPr>
  </w:style>
  <w:style w:type="paragraph" w:styleId="1017" w:customStyle="1">
    <w:name w:val="Знак Знак3 Знак Знак"/>
    <w:basedOn w:val="78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8" w:customStyle="1">
    <w:name w:val="Пункт"/>
    <w:basedOn w:val="78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9" w:customStyle="1">
    <w:name w:val="Подпункт Знак1"/>
    <w:link w:val="963"/>
    <w:rPr>
      <w:sz w:val="28"/>
    </w:rPr>
  </w:style>
  <w:style w:type="paragraph" w:styleId="1020" w:customStyle="1">
    <w:name w:val="Абзац списка1"/>
    <w:basedOn w:val="78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1" w:customStyle="1">
    <w:name w:val="Текст сноски Знак"/>
    <w:link w:val="947"/>
    <w:uiPriority w:val="99"/>
  </w:style>
  <w:style w:type="numbering" w:styleId="1022" w:customStyle="1">
    <w:name w:val="Стиль1"/>
    <w:uiPriority w:val="99"/>
    <w:pPr>
      <w:numPr>
        <w:ilvl w:val="0"/>
        <w:numId w:val="3"/>
      </w:numPr>
    </w:pPr>
  </w:style>
  <w:style w:type="paragraph" w:styleId="1023" w:customStyle="1">
    <w:name w:val="Таблица"/>
    <w:basedOn w:val="78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4" w:customStyle="1">
    <w:name w:val="Основной текст Знак"/>
    <w:link w:val="957"/>
    <w:rPr>
      <w:sz w:val="28"/>
      <w:szCs w:val="28"/>
    </w:rPr>
  </w:style>
  <w:style w:type="character" w:styleId="1025" w:customStyle="1">
    <w:name w:val="blk"/>
  </w:style>
  <w:style w:type="numbering" w:styleId="1026" w:customStyle="1">
    <w:name w:val="Стиль2"/>
    <w:uiPriority w:val="99"/>
    <w:pPr>
      <w:numPr>
        <w:ilvl w:val="0"/>
        <w:numId w:val="5"/>
      </w:numPr>
    </w:pPr>
  </w:style>
  <w:style w:type="paragraph" w:styleId="1027" w:customStyle="1">
    <w:name w:val="Таблица шапка"/>
    <w:basedOn w:val="786"/>
    <w:pPr>
      <w:ind w:left="57" w:right="57"/>
      <w:keepNext/>
      <w:spacing w:before="40" w:after="40"/>
    </w:pPr>
    <w:rPr>
      <w:sz w:val="22"/>
      <w:szCs w:val="26"/>
    </w:rPr>
  </w:style>
  <w:style w:type="character" w:styleId="1028" w:customStyle="1">
    <w:name w:val="Абзац списка Знак"/>
    <w:link w:val="998"/>
    <w:uiPriority w:val="34"/>
    <w:rPr>
      <w:rFonts w:eastAsia="Calibri"/>
      <w:sz w:val="24"/>
      <w:szCs w:val="24"/>
    </w:rPr>
  </w:style>
  <w:style w:type="character" w:styleId="1029" w:customStyle="1">
    <w:name w:val="комментарий"/>
    <w:rPr>
      <w:b/>
      <w:i/>
      <w:shd w:val="clear" w:color="auto" w:fill="ffff99"/>
    </w:rPr>
  </w:style>
  <w:style w:type="paragraph" w:styleId="1030" w:customStyle="1">
    <w:name w:val="Подподпункт"/>
    <w:basedOn w:val="963"/>
    <w:link w:val="1031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31" w:customStyle="1">
    <w:name w:val="Подподпункт Знак"/>
    <w:link w:val="1030"/>
    <w:rPr>
      <w:sz w:val="26"/>
      <w:szCs w:val="26"/>
    </w:rPr>
  </w:style>
  <w:style w:type="paragraph" w:styleId="1032" w:customStyle="1">
    <w:name w:val="УРОВЕНЬ_(а)"/>
    <w:basedOn w:val="998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3" w:customStyle="1">
    <w:name w:val="УРОВЕНЬ_-"/>
    <w:basedOn w:val="998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4" w:customStyle="1">
    <w:name w:val="УРОВЕНЬ_Абзац_тип2"/>
    <w:basedOn w:val="998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5" w:customStyle="1">
    <w:name w:val="УРОВЕНЬ_Абзац_тип3"/>
    <w:basedOn w:val="998"/>
    <w:link w:val="1037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6" w:customStyle="1">
    <w:name w:val="УРОВЕНЬ_Подпись"/>
    <w:basedOn w:val="998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7" w:customStyle="1">
    <w:name w:val="УРОВЕНЬ_Абзац_тип3 Знак"/>
    <w:link w:val="1035"/>
    <w:rPr>
      <w:rFonts w:eastAsia="Calibri"/>
      <w:sz w:val="26"/>
      <w:szCs w:val="28"/>
      <w:lang w:eastAsia="en-US"/>
    </w:rPr>
  </w:style>
  <w:style w:type="character" w:styleId="1038" w:customStyle="1">
    <w:name w:val="Верхний колонтитул Знак"/>
    <w:link w:val="953"/>
    <w:uiPriority w:val="99"/>
    <w:rPr>
      <w:sz w:val="24"/>
      <w:szCs w:val="24"/>
    </w:rPr>
  </w:style>
  <w:style w:type="character" w:styleId="1039" w:customStyle="1">
    <w:name w:val="Текст примечания Знак"/>
    <w:link w:val="974"/>
    <w:uiPriority w:val="99"/>
  </w:style>
  <w:style w:type="paragraph" w:styleId="1040" w:customStyle="1">
    <w:name w:val="Стиль Заголовок 1 + по ширине"/>
    <w:basedOn w:val="78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41">
    <w:name w:val="endnote text"/>
    <w:basedOn w:val="786"/>
    <w:link w:val="1042"/>
    <w:rPr>
      <w:sz w:val="20"/>
      <w:szCs w:val="20"/>
    </w:rPr>
  </w:style>
  <w:style w:type="character" w:styleId="1042" w:customStyle="1">
    <w:name w:val="Текст концевой сноски Знак"/>
    <w:basedOn w:val="796"/>
    <w:link w:val="1041"/>
  </w:style>
  <w:style w:type="character" w:styleId="1043">
    <w:name w:val="endnote reference"/>
    <w:basedOn w:val="796"/>
    <w:rPr>
      <w:vertAlign w:val="superscript"/>
    </w:rPr>
  </w:style>
  <w:style w:type="paragraph" w:styleId="1044" w:customStyle="1">
    <w:name w:val="Заголовок 2 КВВ"/>
    <w:basedOn w:val="78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5" w:customStyle="1">
    <w:name w:val="Пункт2 Знак"/>
    <w:link w:val="964"/>
    <w:rPr>
      <w:b/>
      <w:sz w:val="28"/>
    </w:rPr>
  </w:style>
  <w:style w:type="paragraph" w:styleId="1046" w:customStyle="1">
    <w:name w:val="Таблица текст"/>
    <w:basedOn w:val="786"/>
    <w:pPr>
      <w:ind w:left="57" w:right="57"/>
      <w:spacing w:before="40" w:after="40"/>
    </w:pPr>
    <w:rPr>
      <w:sz w:val="24"/>
      <w:szCs w:val="26"/>
    </w:rPr>
  </w:style>
  <w:style w:type="paragraph" w:styleId="1047">
    <w:name w:val="Normal (Web)"/>
    <w:basedOn w:val="78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8" w:customStyle="1">
    <w:name w:val="УРОВЕНЬ_1."/>
    <w:basedOn w:val="998"/>
    <w:link w:val="1049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9" w:customStyle="1">
    <w:name w:val="УРОВЕНЬ_1. Знак"/>
    <w:link w:val="1048"/>
    <w:rPr>
      <w:rFonts w:eastAsia="Calibri"/>
      <w:caps/>
      <w:sz w:val="28"/>
      <w:szCs w:val="28"/>
      <w:lang w:eastAsia="en-US"/>
    </w:rPr>
  </w:style>
  <w:style w:type="table" w:styleId="1050" w:customStyle="1">
    <w:name w:val="Сетка таблицы1"/>
    <w:basedOn w:val="797"/>
    <w:next w:val="955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1">
    <w:name w:val="toc 6"/>
    <w:basedOn w:val="786"/>
    <w:next w:val="78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2">
    <w:name w:val="toc 7"/>
    <w:basedOn w:val="786"/>
    <w:next w:val="78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3">
    <w:name w:val="toc 8"/>
    <w:basedOn w:val="786"/>
    <w:next w:val="78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4" w:customStyle="1">
    <w:name w:val="Неразрешенное упоминание1"/>
    <w:basedOn w:val="796"/>
    <w:uiPriority w:val="99"/>
    <w:semiHidden/>
    <w:unhideWhenUsed/>
    <w:rPr>
      <w:color w:val="605e5c"/>
      <w:shd w:val="clear" w:color="auto" w:fill="e1dfdd"/>
    </w:rPr>
  </w:style>
  <w:style w:type="character" w:styleId="1055" w:customStyle="1">
    <w:name w:val="Основной текст с отступом 3 Знак"/>
    <w:link w:val="960"/>
    <w:rPr>
      <w:sz w:val="16"/>
      <w:szCs w:val="16"/>
    </w:rPr>
  </w:style>
  <w:style w:type="character" w:styleId="1056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57" w:customStyle="1">
    <w:name w:val="ConsPlusNormal Знак"/>
    <w:link w:val="1016"/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C050-504E-4384-93E0-5EF6A0FE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lobanov_ag</cp:lastModifiedBy>
  <cp:revision>10</cp:revision>
  <dcterms:created xsi:type="dcterms:W3CDTF">2024-08-08T23:17:00Z</dcterms:created>
  <dcterms:modified xsi:type="dcterms:W3CDTF">2026-04-29T01:26:55Z</dcterms:modified>
</cp:coreProperties>
</file>